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LHB Member Management System (LHB MMS)</w:t>
      </w:r>
    </w:p>
    <w:p>
      <w:pPr>
        <w:jc w:val="center"/>
      </w:pPr>
      <w:r>
        <w:rPr>
          <w:b/>
          <w:sz w:val="26"/>
        </w:rPr>
        <w:t>User Acceptance Test (UAT) Sign-Off Form</w:t>
      </w:r>
    </w:p>
    <w:tbl>
      <w:tblPr>
        <w:tblStyle w:val="TableGrid"/>
        <w:tblW w:type="auto" w:w="0"/>
        <w:tblLook w:firstColumn="1" w:firstRow="1" w:lastColumn="0" w:lastRow="0" w:noHBand="0" w:noVBand="1" w:val="04A0"/>
      </w:tblPr>
      <w:tblGrid>
        <w:gridCol w:w="4320"/>
        <w:gridCol w:w="4320"/>
      </w:tblGrid>
      <w:tr>
        <w:tc>
          <w:tcPr>
            <w:tcW w:type="dxa" w:w="2304"/>
            <w:shd w:val="clear" w:color="auto" w:fill="DCE6F1"/>
          </w:tcPr>
          <w:p>
            <w:r>
              <w:rPr>
                <w:b/>
              </w:rPr>
              <w:t>System</w:t>
            </w:r>
          </w:p>
        </w:tc>
        <w:tc>
          <w:tcPr>
            <w:tcW w:type="dxa" w:w="7488"/>
          </w:tcPr>
          <w:p>
            <w:r>
              <w:t>LHB MMS — Internal staff web application (replacing legacy Informix system)</w:t>
            </w:r>
          </w:p>
        </w:tc>
      </w:tr>
      <w:tr>
        <w:tc>
          <w:tcPr>
            <w:tcW w:type="dxa" w:w="2304"/>
            <w:shd w:val="clear" w:color="auto" w:fill="DCE6F1"/>
          </w:tcPr>
          <w:p>
            <w:r>
              <w:rPr>
                <w:b/>
              </w:rPr>
              <w:t>Environment</w:t>
            </w:r>
          </w:p>
        </w:tc>
        <w:tc>
          <w:tcPr>
            <w:tcW w:type="dxa" w:w="7488"/>
          </w:tcPr>
          <w:p>
            <w:r>
              <w:t>Test / UAT — http://199.1.1.32</w:t>
            </w:r>
          </w:p>
        </w:tc>
      </w:tr>
      <w:tr>
        <w:tc>
          <w:tcPr>
            <w:tcW w:type="dxa" w:w="2304"/>
            <w:shd w:val="clear" w:color="auto" w:fill="DCE6F1"/>
          </w:tcPr>
          <w:p>
            <w:r>
              <w:rPr>
                <w:b/>
              </w:rPr>
              <w:t>Data Scope</w:t>
            </w:r>
          </w:p>
        </w:tc>
        <w:tc>
          <w:tcPr>
            <w:tcW w:type="dxa" w:w="7488"/>
          </w:tcPr>
          <w:p>
            <w:r>
              <w:t>~32,387 members · ~33,841 timeshare agreements · AMC billing · Zurich PBS</w:t>
            </w:r>
          </w:p>
        </w:tc>
      </w:tr>
      <w:tr>
        <w:tc>
          <w:tcPr>
            <w:tcW w:type="dxa" w:w="2304"/>
            <w:shd w:val="clear" w:color="auto" w:fill="DCE6F1"/>
          </w:tcPr>
          <w:p>
            <w:r>
              <w:rPr>
                <w:b/>
              </w:rPr>
              <w:t>UAT Date</w:t>
            </w:r>
          </w:p>
        </w:tc>
        <w:tc>
          <w:tcPr>
            <w:tcW w:type="dxa" w:w="7488"/>
          </w:tcPr>
          <w:p>
            <w:r/>
          </w:p>
        </w:tc>
      </w:tr>
    </w:tbl>
    <w:p/>
    <w:p>
      <w:pPr>
        <w:spacing w:before="240" w:after="120"/>
      </w:pPr>
      <w:r>
        <w:rPr>
          <w:b/>
          <w:color w:val="1F4E79"/>
          <w:sz w:val="24"/>
        </w:rPr>
        <w:t>Instructions</w:t>
      </w:r>
    </w:p>
    <w:p>
      <w:r>
        <w:t>Please review each module and functional item below. Click the Pass box if the function works as expected, or the Fail box and note the issue in the Remarks column. Sign at the bottom to confirm acceptance.</w:t>
      </w:r>
    </w:p>
    <w:p>
      <w:pPr>
        <w:spacing w:before="240" w:after="120"/>
      </w:pPr>
      <w:r>
        <w:rPr>
          <w:b/>
          <w:color w:val="1F4E79"/>
          <w:sz w:val="24"/>
        </w:rPr>
        <w:t>1. Authentication &amp; Access Control</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val="true"/>
        </w:trPr>
        <w:tc>
          <w:tcPr>
            <w:tcW w:type="dxa" w:w="576"/>
            <w:shd w:val="clear" w:color="auto" w:fill="1F4E79"/>
          </w:tcPr>
          <w:p>
            <w:pPr>
              <w:jc w:val="center"/>
            </w:pPr>
            <w:r>
              <w:rPr>
                <w:b/>
                <w:color w:val="FFFFFF"/>
                <w:sz w:val="20"/>
              </w:rPr>
              <w:t>#</w:t>
            </w:r>
          </w:p>
        </w:tc>
        <w:tc>
          <w:tcPr>
            <w:tcW w:type="dxa" w:w="5184"/>
            <w:shd w:val="clear" w:color="auto" w:fill="1F4E79"/>
          </w:tcPr>
          <w:p>
            <w:pPr>
              <w:jc w:val="center"/>
            </w:pPr>
            <w:r>
              <w:rPr>
                <w:b/>
                <w:color w:val="FFFFFF"/>
                <w:sz w:val="20"/>
              </w:rPr>
              <w:t>Function</w:t>
            </w:r>
          </w:p>
        </w:tc>
        <w:tc>
          <w:tcPr>
            <w:tcW w:type="dxa" w:w="864"/>
            <w:shd w:val="clear" w:color="auto" w:fill="1F4E79"/>
          </w:tcPr>
          <w:p>
            <w:pPr>
              <w:jc w:val="center"/>
            </w:pPr>
            <w:r>
              <w:rPr>
                <w:b/>
                <w:color w:val="FFFFFF"/>
                <w:sz w:val="20"/>
              </w:rPr>
              <w:t>Pass</w:t>
            </w:r>
          </w:p>
        </w:tc>
        <w:tc>
          <w:tcPr>
            <w:tcW w:type="dxa" w:w="864"/>
            <w:shd w:val="clear" w:color="auto" w:fill="1F4E79"/>
          </w:tcPr>
          <w:p>
            <w:pPr>
              <w:jc w:val="center"/>
            </w:pPr>
            <w:r>
              <w:rPr>
                <w:b/>
                <w:color w:val="FFFFFF"/>
                <w:sz w:val="20"/>
              </w:rPr>
              <w:t>Fail</w:t>
            </w:r>
          </w:p>
        </w:tc>
        <w:tc>
          <w:tcPr>
            <w:tcW w:type="dxa" w:w="2304"/>
            <w:shd w:val="clear" w:color="auto" w:fill="1F4E79"/>
          </w:tcPr>
          <w:p>
            <w:pPr>
              <w:jc w:val="center"/>
            </w:pPr>
            <w:r>
              <w:rPr>
                <w:b/>
                <w:color w:val="FFFFFF"/>
                <w:sz w:val="20"/>
              </w:rPr>
              <w:t>Remarks</w:t>
            </w:r>
          </w:p>
        </w:tc>
      </w:tr>
      <w:tr>
        <w:tc>
          <w:tcPr>
            <w:tcW w:type="dxa" w:w="576"/>
          </w:tcPr>
          <w:p>
            <w:pPr>
              <w:jc w:val="center"/>
            </w:pPr>
            <w:r>
              <w:rPr>
                <w:sz w:val="20"/>
              </w:rPr>
              <w:t>1.1</w:t>
            </w:r>
          </w:p>
        </w:tc>
        <w:tc>
          <w:tcPr>
            <w:tcW w:type="dxa" w:w="5184"/>
          </w:tcPr>
          <w:p>
            <w:r>
              <w:rPr>
                <w:sz w:val="20"/>
              </w:rPr>
              <w:t>Login with username / password (session stays valid for 8 hours)</w:t>
            </w:r>
          </w:p>
        </w:tc>
        <w:tc>
          <w:tcPr>
            <w:tcW w:type="dxa" w:w="864"/>
          </w:tcPr>
          <w:p>
            <w:pPr>
              <w:jc w:val="center"/>
            </w:pPr>
            <w:sdt>
              <w:sdtPr>
                <w:rPr>
                  <w:rFonts w:ascii="MS Gothic" w:eastAsia="MS Gothic" w:hAnsi="MS Gothic"/>
                  <w:sz w:val="24"/>
                </w:rPr>
                <w:id w:val="1001"/>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02"/>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1.2</w:t>
            </w:r>
          </w:p>
        </w:tc>
        <w:tc>
          <w:tcPr>
            <w:tcW w:type="dxa" w:w="5184"/>
          </w:tcPr>
          <w:p>
            <w:r>
              <w:rPr>
                <w:sz w:val="20"/>
              </w:rPr>
              <w:t>System forces a password change on first login</w:t>
            </w:r>
          </w:p>
        </w:tc>
        <w:tc>
          <w:tcPr>
            <w:tcW w:type="dxa" w:w="864"/>
          </w:tcPr>
          <w:p>
            <w:pPr>
              <w:jc w:val="center"/>
            </w:pPr>
            <w:sdt>
              <w:sdtPr>
                <w:rPr>
                  <w:rFonts w:ascii="MS Gothic" w:eastAsia="MS Gothic" w:hAnsi="MS Gothic"/>
                  <w:sz w:val="24"/>
                </w:rPr>
                <w:id w:val="1003"/>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04"/>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1.3</w:t>
            </w:r>
          </w:p>
        </w:tc>
        <w:tc>
          <w:tcPr>
            <w:tcW w:type="dxa" w:w="5184"/>
          </w:tcPr>
          <w:p>
            <w:r>
              <w:rPr>
                <w:sz w:val="20"/>
              </w:rPr>
              <w:t>Only one login allowed at a time (logging in elsewhere warns / ends the earlier session)</w:t>
            </w:r>
          </w:p>
        </w:tc>
        <w:tc>
          <w:tcPr>
            <w:tcW w:type="dxa" w:w="864"/>
          </w:tcPr>
          <w:p>
            <w:pPr>
              <w:jc w:val="center"/>
            </w:pPr>
            <w:sdt>
              <w:sdtPr>
                <w:rPr>
                  <w:rFonts w:ascii="MS Gothic" w:eastAsia="MS Gothic" w:hAnsi="MS Gothic"/>
                  <w:sz w:val="24"/>
                </w:rPr>
                <w:id w:val="1005"/>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06"/>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1.4</w:t>
            </w:r>
          </w:p>
        </w:tc>
        <w:tc>
          <w:tcPr>
            <w:tcW w:type="dxa" w:w="5184"/>
          </w:tcPr>
          <w:p>
            <w:r>
              <w:rPr>
                <w:sz w:val="20"/>
              </w:rPr>
              <w:t>Logout ends the session correctly</w:t>
            </w:r>
          </w:p>
        </w:tc>
        <w:tc>
          <w:tcPr>
            <w:tcW w:type="dxa" w:w="864"/>
          </w:tcPr>
          <w:p>
            <w:pPr>
              <w:jc w:val="center"/>
            </w:pPr>
            <w:sdt>
              <w:sdtPr>
                <w:rPr>
                  <w:rFonts w:ascii="MS Gothic" w:eastAsia="MS Gothic" w:hAnsi="MS Gothic"/>
                  <w:sz w:val="24"/>
                </w:rPr>
                <w:id w:val="1007"/>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08"/>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1.5</w:t>
            </w:r>
          </w:p>
        </w:tc>
        <w:tc>
          <w:tcPr>
            <w:tcW w:type="dxa" w:w="5184"/>
          </w:tcPr>
          <w:p>
            <w:r>
              <w:rPr>
                <w:sz w:val="20"/>
              </w:rPr>
              <w:t>Sidebar shows only the modules the user's department is allowed to see</w:t>
            </w:r>
          </w:p>
        </w:tc>
        <w:tc>
          <w:tcPr>
            <w:tcW w:type="dxa" w:w="864"/>
          </w:tcPr>
          <w:p>
            <w:pPr>
              <w:jc w:val="center"/>
            </w:pPr>
            <w:sdt>
              <w:sdtPr>
                <w:rPr>
                  <w:rFonts w:ascii="MS Gothic" w:eastAsia="MS Gothic" w:hAnsi="MS Gothic"/>
                  <w:sz w:val="24"/>
                </w:rPr>
                <w:id w:val="1009"/>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10"/>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1.6</w:t>
            </w:r>
          </w:p>
        </w:tc>
        <w:tc>
          <w:tcPr>
            <w:tcW w:type="dxa" w:w="5184"/>
          </w:tcPr>
          <w:p>
            <w:r>
              <w:rPr>
                <w:sz w:val="20"/>
              </w:rPr>
              <w:t>Access rights (View / Add / Edit / Delete) are enforced per department</w:t>
            </w:r>
          </w:p>
        </w:tc>
        <w:tc>
          <w:tcPr>
            <w:tcW w:type="dxa" w:w="864"/>
          </w:tcPr>
          <w:p>
            <w:pPr>
              <w:jc w:val="center"/>
            </w:pPr>
            <w:sdt>
              <w:sdtPr>
                <w:rPr>
                  <w:rFonts w:ascii="MS Gothic" w:eastAsia="MS Gothic" w:hAnsi="MS Gothic"/>
                  <w:sz w:val="24"/>
                </w:rPr>
                <w:id w:val="1011"/>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12"/>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bl>
    <w:p/>
    <w:p>
      <w:pPr>
        <w:spacing w:before="240" w:after="120"/>
      </w:pPr>
      <w:r>
        <w:rPr>
          <w:b/>
          <w:color w:val="1F4E79"/>
          <w:sz w:val="24"/>
        </w:rPr>
        <w:t>2. Admin</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val="true"/>
        </w:trPr>
        <w:tc>
          <w:tcPr>
            <w:tcW w:type="dxa" w:w="576"/>
            <w:shd w:val="clear" w:color="auto" w:fill="1F4E79"/>
          </w:tcPr>
          <w:p>
            <w:pPr>
              <w:jc w:val="center"/>
            </w:pPr>
            <w:r>
              <w:rPr>
                <w:b/>
                <w:color w:val="FFFFFF"/>
                <w:sz w:val="20"/>
              </w:rPr>
              <w:t>#</w:t>
            </w:r>
          </w:p>
        </w:tc>
        <w:tc>
          <w:tcPr>
            <w:tcW w:type="dxa" w:w="5184"/>
            <w:shd w:val="clear" w:color="auto" w:fill="1F4E79"/>
          </w:tcPr>
          <w:p>
            <w:pPr>
              <w:jc w:val="center"/>
            </w:pPr>
            <w:r>
              <w:rPr>
                <w:b/>
                <w:color w:val="FFFFFF"/>
                <w:sz w:val="20"/>
              </w:rPr>
              <w:t>Function</w:t>
            </w:r>
          </w:p>
        </w:tc>
        <w:tc>
          <w:tcPr>
            <w:tcW w:type="dxa" w:w="864"/>
            <w:shd w:val="clear" w:color="auto" w:fill="1F4E79"/>
          </w:tcPr>
          <w:p>
            <w:pPr>
              <w:jc w:val="center"/>
            </w:pPr>
            <w:r>
              <w:rPr>
                <w:b/>
                <w:color w:val="FFFFFF"/>
                <w:sz w:val="20"/>
              </w:rPr>
              <w:t>Pass</w:t>
            </w:r>
          </w:p>
        </w:tc>
        <w:tc>
          <w:tcPr>
            <w:tcW w:type="dxa" w:w="864"/>
            <w:shd w:val="clear" w:color="auto" w:fill="1F4E79"/>
          </w:tcPr>
          <w:p>
            <w:pPr>
              <w:jc w:val="center"/>
            </w:pPr>
            <w:r>
              <w:rPr>
                <w:b/>
                <w:color w:val="FFFFFF"/>
                <w:sz w:val="20"/>
              </w:rPr>
              <w:t>Fail</w:t>
            </w:r>
          </w:p>
        </w:tc>
        <w:tc>
          <w:tcPr>
            <w:tcW w:type="dxa" w:w="2304"/>
            <w:shd w:val="clear" w:color="auto" w:fill="1F4E79"/>
          </w:tcPr>
          <w:p>
            <w:pPr>
              <w:jc w:val="center"/>
            </w:pPr>
            <w:r>
              <w:rPr>
                <w:b/>
                <w:color w:val="FFFFFF"/>
                <w:sz w:val="20"/>
              </w:rPr>
              <w:t>Remarks</w:t>
            </w:r>
          </w:p>
        </w:tc>
      </w:tr>
      <w:tr>
        <w:tc>
          <w:tcPr>
            <w:tcW w:type="dxa" w:w="576"/>
          </w:tcPr>
          <w:p>
            <w:pPr>
              <w:jc w:val="center"/>
            </w:pPr>
            <w:r>
              <w:rPr>
                <w:sz w:val="20"/>
              </w:rPr>
              <w:t>2.1</w:t>
            </w:r>
          </w:p>
        </w:tc>
        <w:tc>
          <w:tcPr>
            <w:tcW w:type="dxa" w:w="5184"/>
          </w:tcPr>
          <w:p>
            <w:r>
              <w:rPr>
                <w:sz w:val="20"/>
              </w:rPr>
              <w:t>Users — list, view, create and edit user accounts</w:t>
            </w:r>
          </w:p>
        </w:tc>
        <w:tc>
          <w:tcPr>
            <w:tcW w:type="dxa" w:w="864"/>
          </w:tcPr>
          <w:p>
            <w:pPr>
              <w:jc w:val="center"/>
            </w:pPr>
            <w:sdt>
              <w:sdtPr>
                <w:rPr>
                  <w:rFonts w:ascii="MS Gothic" w:eastAsia="MS Gothic" w:hAnsi="MS Gothic"/>
                  <w:sz w:val="24"/>
                </w:rPr>
                <w:id w:val="1013"/>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14"/>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2.2</w:t>
            </w:r>
          </w:p>
        </w:tc>
        <w:tc>
          <w:tcPr>
            <w:tcW w:type="dxa" w:w="5184"/>
          </w:tcPr>
          <w:p>
            <w:r>
              <w:rPr>
                <w:sz w:val="20"/>
              </w:rPr>
              <w:t>Clone user (copies the same permissions and report access to a new user)</w:t>
            </w:r>
          </w:p>
        </w:tc>
        <w:tc>
          <w:tcPr>
            <w:tcW w:type="dxa" w:w="864"/>
          </w:tcPr>
          <w:p>
            <w:pPr>
              <w:jc w:val="center"/>
            </w:pPr>
            <w:sdt>
              <w:sdtPr>
                <w:rPr>
                  <w:rFonts w:ascii="MS Gothic" w:eastAsia="MS Gothic" w:hAnsi="MS Gothic"/>
                  <w:sz w:val="24"/>
                </w:rPr>
                <w:id w:val="1015"/>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16"/>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2.3</w:t>
            </w:r>
          </w:p>
        </w:tc>
        <w:tc>
          <w:tcPr>
            <w:tcW w:type="dxa" w:w="5184"/>
          </w:tcPr>
          <w:p>
            <w:r>
              <w:rPr>
                <w:sz w:val="20"/>
              </w:rPr>
              <w:t>Departments — manage departments and their permission settings</w:t>
            </w:r>
          </w:p>
        </w:tc>
        <w:tc>
          <w:tcPr>
            <w:tcW w:type="dxa" w:w="864"/>
          </w:tcPr>
          <w:p>
            <w:pPr>
              <w:jc w:val="center"/>
            </w:pPr>
            <w:sdt>
              <w:sdtPr>
                <w:rPr>
                  <w:rFonts w:ascii="MS Gothic" w:eastAsia="MS Gothic" w:hAnsi="MS Gothic"/>
                  <w:sz w:val="24"/>
                </w:rPr>
                <w:id w:val="1017"/>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18"/>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2.4</w:t>
            </w:r>
          </w:p>
        </w:tc>
        <w:tc>
          <w:tcPr>
            <w:tcW w:type="dxa" w:w="5184"/>
          </w:tcPr>
          <w:p>
            <w:r>
              <w:rPr>
                <w:sz w:val="20"/>
              </w:rPr>
              <w:t>Audit Log — view a record of changes made in the system (IT only)</w:t>
            </w:r>
          </w:p>
        </w:tc>
        <w:tc>
          <w:tcPr>
            <w:tcW w:type="dxa" w:w="864"/>
          </w:tcPr>
          <w:p>
            <w:pPr>
              <w:jc w:val="center"/>
            </w:pPr>
            <w:sdt>
              <w:sdtPr>
                <w:rPr>
                  <w:rFonts w:ascii="MS Gothic" w:eastAsia="MS Gothic" w:hAnsi="MS Gothic"/>
                  <w:sz w:val="24"/>
                </w:rPr>
                <w:id w:val="1019"/>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20"/>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2.5</w:t>
            </w:r>
          </w:p>
        </w:tc>
        <w:tc>
          <w:tcPr>
            <w:tcW w:type="dxa" w:w="5184"/>
          </w:tcPr>
          <w:p>
            <w:r>
              <w:rPr>
                <w:sz w:val="20"/>
              </w:rPr>
              <w:t>Report Access — grant or remove a user's access to each report (IT only)</w:t>
            </w:r>
          </w:p>
        </w:tc>
        <w:tc>
          <w:tcPr>
            <w:tcW w:type="dxa" w:w="864"/>
          </w:tcPr>
          <w:p>
            <w:pPr>
              <w:jc w:val="center"/>
            </w:pPr>
            <w:sdt>
              <w:sdtPr>
                <w:rPr>
                  <w:rFonts w:ascii="MS Gothic" w:eastAsia="MS Gothic" w:hAnsi="MS Gothic"/>
                  <w:sz w:val="24"/>
                </w:rPr>
                <w:id w:val="1021"/>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22"/>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bl>
    <w:p/>
    <w:p>
      <w:pPr>
        <w:spacing w:before="240" w:after="120"/>
      </w:pPr>
      <w:r>
        <w:rPr>
          <w:b/>
          <w:color w:val="1F4E79"/>
          <w:sz w:val="24"/>
        </w:rPr>
        <w:t>3. Members</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val="true"/>
        </w:trPr>
        <w:tc>
          <w:tcPr>
            <w:tcW w:type="dxa" w:w="576"/>
            <w:shd w:val="clear" w:color="auto" w:fill="1F4E79"/>
          </w:tcPr>
          <w:p>
            <w:pPr>
              <w:jc w:val="center"/>
            </w:pPr>
            <w:r>
              <w:rPr>
                <w:b/>
                <w:color w:val="FFFFFF"/>
                <w:sz w:val="20"/>
              </w:rPr>
              <w:t>#</w:t>
            </w:r>
          </w:p>
        </w:tc>
        <w:tc>
          <w:tcPr>
            <w:tcW w:type="dxa" w:w="5184"/>
            <w:shd w:val="clear" w:color="auto" w:fill="1F4E79"/>
          </w:tcPr>
          <w:p>
            <w:pPr>
              <w:jc w:val="center"/>
            </w:pPr>
            <w:r>
              <w:rPr>
                <w:b/>
                <w:color w:val="FFFFFF"/>
                <w:sz w:val="20"/>
              </w:rPr>
              <w:t>Function</w:t>
            </w:r>
          </w:p>
        </w:tc>
        <w:tc>
          <w:tcPr>
            <w:tcW w:type="dxa" w:w="864"/>
            <w:shd w:val="clear" w:color="auto" w:fill="1F4E79"/>
          </w:tcPr>
          <w:p>
            <w:pPr>
              <w:jc w:val="center"/>
            </w:pPr>
            <w:r>
              <w:rPr>
                <w:b/>
                <w:color w:val="FFFFFF"/>
                <w:sz w:val="20"/>
              </w:rPr>
              <w:t>Pass</w:t>
            </w:r>
          </w:p>
        </w:tc>
        <w:tc>
          <w:tcPr>
            <w:tcW w:type="dxa" w:w="864"/>
            <w:shd w:val="clear" w:color="auto" w:fill="1F4E79"/>
          </w:tcPr>
          <w:p>
            <w:pPr>
              <w:jc w:val="center"/>
            </w:pPr>
            <w:r>
              <w:rPr>
                <w:b/>
                <w:color w:val="FFFFFF"/>
                <w:sz w:val="20"/>
              </w:rPr>
              <w:t>Fail</w:t>
            </w:r>
          </w:p>
        </w:tc>
        <w:tc>
          <w:tcPr>
            <w:tcW w:type="dxa" w:w="2304"/>
            <w:shd w:val="clear" w:color="auto" w:fill="1F4E79"/>
          </w:tcPr>
          <w:p>
            <w:pPr>
              <w:jc w:val="center"/>
            </w:pPr>
            <w:r>
              <w:rPr>
                <w:b/>
                <w:color w:val="FFFFFF"/>
                <w:sz w:val="20"/>
              </w:rPr>
              <w:t>Remarks</w:t>
            </w:r>
          </w:p>
        </w:tc>
      </w:tr>
      <w:tr>
        <w:tc>
          <w:tcPr>
            <w:tcW w:type="dxa" w:w="576"/>
          </w:tcPr>
          <w:p>
            <w:pPr>
              <w:jc w:val="center"/>
            </w:pPr>
            <w:r>
              <w:rPr>
                <w:sz w:val="20"/>
              </w:rPr>
              <w:t>3.1</w:t>
            </w:r>
          </w:p>
        </w:tc>
        <w:tc>
          <w:tcPr>
            <w:tcW w:type="dxa" w:w="5184"/>
          </w:tcPr>
          <w:p>
            <w:r>
              <w:rPr>
                <w:sz w:val="20"/>
              </w:rPr>
              <w:t>Member Enquiry — search and sort members; after opening a member and clicking the browser Back button, the previous search results and sort order are kept (not reset)</w:t>
            </w:r>
          </w:p>
        </w:tc>
        <w:tc>
          <w:tcPr>
            <w:tcW w:type="dxa" w:w="864"/>
          </w:tcPr>
          <w:p>
            <w:pPr>
              <w:jc w:val="center"/>
            </w:pPr>
            <w:sdt>
              <w:sdtPr>
                <w:rPr>
                  <w:rFonts w:ascii="MS Gothic" w:eastAsia="MS Gothic" w:hAnsi="MS Gothic"/>
                  <w:sz w:val="24"/>
                </w:rPr>
                <w:id w:val="1023"/>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24"/>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3.2</w:t>
            </w:r>
          </w:p>
        </w:tc>
        <w:tc>
          <w:tcPr>
            <w:tcW w:type="dxa" w:w="5184"/>
          </w:tcPr>
          <w:p>
            <w:r>
              <w:rPr>
                <w:sz w:val="20"/>
              </w:rPr>
              <w:t>Member Detail — view individual and corporate members</w:t>
            </w:r>
          </w:p>
        </w:tc>
        <w:tc>
          <w:tcPr>
            <w:tcW w:type="dxa" w:w="864"/>
          </w:tcPr>
          <w:p>
            <w:pPr>
              <w:jc w:val="center"/>
            </w:pPr>
            <w:sdt>
              <w:sdtPr>
                <w:rPr>
                  <w:rFonts w:ascii="MS Gothic" w:eastAsia="MS Gothic" w:hAnsi="MS Gothic"/>
                  <w:sz w:val="24"/>
                </w:rPr>
                <w:id w:val="1025"/>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26"/>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3.3</w:t>
            </w:r>
          </w:p>
        </w:tc>
        <w:tc>
          <w:tcPr>
            <w:tcW w:type="dxa" w:w="5184"/>
          </w:tcPr>
          <w:p>
            <w:r>
              <w:rPr>
                <w:sz w:val="20"/>
              </w:rPr>
              <w:t>Agreement list under a member (transferred agreements are shown disabled / not clickable)</w:t>
            </w:r>
          </w:p>
        </w:tc>
        <w:tc>
          <w:tcPr>
            <w:tcW w:type="dxa" w:w="864"/>
          </w:tcPr>
          <w:p>
            <w:pPr>
              <w:jc w:val="center"/>
            </w:pPr>
            <w:sdt>
              <w:sdtPr>
                <w:rPr>
                  <w:rFonts w:ascii="MS Gothic" w:eastAsia="MS Gothic" w:hAnsi="MS Gothic"/>
                  <w:sz w:val="24"/>
                </w:rPr>
                <w:id w:val="1027"/>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28"/>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3.4</w:t>
            </w:r>
          </w:p>
        </w:tc>
        <w:tc>
          <w:tcPr>
            <w:tcW w:type="dxa" w:w="5184"/>
          </w:tcPr>
          <w:p>
            <w:r>
              <w:rPr>
                <w:sz w:val="20"/>
              </w:rPr>
              <w:t>Edit Member (Member Services + IT) — personal, contact, address, employment, spouse, joint applicant and corporate details</w:t>
            </w:r>
          </w:p>
        </w:tc>
        <w:tc>
          <w:tcPr>
            <w:tcW w:type="dxa" w:w="864"/>
          </w:tcPr>
          <w:p>
            <w:pPr>
              <w:jc w:val="center"/>
            </w:pPr>
            <w:sdt>
              <w:sdtPr>
                <w:rPr>
                  <w:rFonts w:ascii="MS Gothic" w:eastAsia="MS Gothic" w:hAnsi="MS Gothic"/>
                  <w:sz w:val="24"/>
                </w:rPr>
                <w:id w:val="1029"/>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30"/>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3.5</w:t>
            </w:r>
          </w:p>
        </w:tc>
        <w:tc>
          <w:tcPr>
            <w:tcW w:type="dxa" w:w="5184"/>
          </w:tcPr>
          <w:p>
            <w:r>
              <w:rPr>
                <w:sz w:val="20"/>
              </w:rPr>
              <w:t>Text fields auto-capitalise; selecting a state auto-fills the city/state field</w:t>
            </w:r>
          </w:p>
        </w:tc>
        <w:tc>
          <w:tcPr>
            <w:tcW w:type="dxa" w:w="864"/>
          </w:tcPr>
          <w:p>
            <w:pPr>
              <w:jc w:val="center"/>
            </w:pPr>
            <w:sdt>
              <w:sdtPr>
                <w:rPr>
                  <w:rFonts w:ascii="MS Gothic" w:eastAsia="MS Gothic" w:hAnsi="MS Gothic"/>
                  <w:sz w:val="24"/>
                </w:rPr>
                <w:id w:val="1031"/>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32"/>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3.6</w:t>
            </w:r>
          </w:p>
        </w:tc>
        <w:tc>
          <w:tcPr>
            <w:tcW w:type="dxa" w:w="5184"/>
          </w:tcPr>
          <w:p>
            <w:r>
              <w:rPr>
                <w:sz w:val="20"/>
              </w:rPr>
              <w:t>Users without edit rights cannot reach the edit screen even by typing the address directly</w:t>
            </w:r>
          </w:p>
        </w:tc>
        <w:tc>
          <w:tcPr>
            <w:tcW w:type="dxa" w:w="864"/>
          </w:tcPr>
          <w:p>
            <w:pPr>
              <w:jc w:val="center"/>
            </w:pPr>
            <w:sdt>
              <w:sdtPr>
                <w:rPr>
                  <w:rFonts w:ascii="MS Gothic" w:eastAsia="MS Gothic" w:hAnsi="MS Gothic"/>
                  <w:sz w:val="24"/>
                </w:rPr>
                <w:id w:val="1033"/>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34"/>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bl>
    <w:p/>
    <w:p>
      <w:pPr>
        <w:spacing w:before="240" w:after="120"/>
      </w:pPr>
      <w:r>
        <w:rPr>
          <w:b/>
          <w:color w:val="1F4E79"/>
          <w:sz w:val="24"/>
        </w:rPr>
        <w:t>4. Agreements</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val="true"/>
        </w:trPr>
        <w:tc>
          <w:tcPr>
            <w:tcW w:type="dxa" w:w="576"/>
            <w:shd w:val="clear" w:color="auto" w:fill="1F4E79"/>
          </w:tcPr>
          <w:p>
            <w:pPr>
              <w:jc w:val="center"/>
            </w:pPr>
            <w:r>
              <w:rPr>
                <w:b/>
                <w:color w:val="FFFFFF"/>
                <w:sz w:val="20"/>
              </w:rPr>
              <w:t>#</w:t>
            </w:r>
          </w:p>
        </w:tc>
        <w:tc>
          <w:tcPr>
            <w:tcW w:type="dxa" w:w="5184"/>
            <w:shd w:val="clear" w:color="auto" w:fill="1F4E79"/>
          </w:tcPr>
          <w:p>
            <w:pPr>
              <w:jc w:val="center"/>
            </w:pPr>
            <w:r>
              <w:rPr>
                <w:b/>
                <w:color w:val="FFFFFF"/>
                <w:sz w:val="20"/>
              </w:rPr>
              <w:t>Function</w:t>
            </w:r>
          </w:p>
        </w:tc>
        <w:tc>
          <w:tcPr>
            <w:tcW w:type="dxa" w:w="864"/>
            <w:shd w:val="clear" w:color="auto" w:fill="1F4E79"/>
          </w:tcPr>
          <w:p>
            <w:pPr>
              <w:jc w:val="center"/>
            </w:pPr>
            <w:r>
              <w:rPr>
                <w:b/>
                <w:color w:val="FFFFFF"/>
                <w:sz w:val="20"/>
              </w:rPr>
              <w:t>Pass</w:t>
            </w:r>
          </w:p>
        </w:tc>
        <w:tc>
          <w:tcPr>
            <w:tcW w:type="dxa" w:w="864"/>
            <w:shd w:val="clear" w:color="auto" w:fill="1F4E79"/>
          </w:tcPr>
          <w:p>
            <w:pPr>
              <w:jc w:val="center"/>
            </w:pPr>
            <w:r>
              <w:rPr>
                <w:b/>
                <w:color w:val="FFFFFF"/>
                <w:sz w:val="20"/>
              </w:rPr>
              <w:t>Fail</w:t>
            </w:r>
          </w:p>
        </w:tc>
        <w:tc>
          <w:tcPr>
            <w:tcW w:type="dxa" w:w="2304"/>
            <w:shd w:val="clear" w:color="auto" w:fill="1F4E79"/>
          </w:tcPr>
          <w:p>
            <w:pPr>
              <w:jc w:val="center"/>
            </w:pPr>
            <w:r>
              <w:rPr>
                <w:b/>
                <w:color w:val="FFFFFF"/>
                <w:sz w:val="20"/>
              </w:rPr>
              <w:t>Remarks</w:t>
            </w:r>
          </w:p>
        </w:tc>
      </w:tr>
      <w:tr>
        <w:tc>
          <w:tcPr>
            <w:tcW w:type="dxa" w:w="576"/>
          </w:tcPr>
          <w:p>
            <w:pPr>
              <w:jc w:val="center"/>
            </w:pPr>
            <w:r>
              <w:rPr>
                <w:sz w:val="20"/>
              </w:rPr>
              <w:t>4.1</w:t>
            </w:r>
          </w:p>
        </w:tc>
        <w:tc>
          <w:tcPr>
            <w:tcW w:type="dxa" w:w="5184"/>
          </w:tcPr>
          <w:p>
            <w:r>
              <w:rPr>
                <w:sz w:val="20"/>
              </w:rPr>
              <w:t>Agreements list — search, sort and filter (opens on LHC-03 / Active by default)</w:t>
            </w:r>
          </w:p>
        </w:tc>
        <w:tc>
          <w:tcPr>
            <w:tcW w:type="dxa" w:w="864"/>
          </w:tcPr>
          <w:p>
            <w:pPr>
              <w:jc w:val="center"/>
            </w:pPr>
            <w:sdt>
              <w:sdtPr>
                <w:rPr>
                  <w:rFonts w:ascii="MS Gothic" w:eastAsia="MS Gothic" w:hAnsi="MS Gothic"/>
                  <w:sz w:val="24"/>
                </w:rPr>
                <w:id w:val="1035"/>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36"/>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4.2</w:t>
            </w:r>
          </w:p>
        </w:tc>
        <w:tc>
          <w:tcPr>
            <w:tcW w:type="dxa" w:w="5184"/>
          </w:tcPr>
          <w:p>
            <w:r>
              <w:rPr>
                <w:sz w:val="20"/>
              </w:rPr>
              <w:t>Agreement Detail — details, net purchase price and loan information</w:t>
            </w:r>
          </w:p>
        </w:tc>
        <w:tc>
          <w:tcPr>
            <w:tcW w:type="dxa" w:w="864"/>
          </w:tcPr>
          <w:p>
            <w:pPr>
              <w:jc w:val="center"/>
            </w:pPr>
            <w:sdt>
              <w:sdtPr>
                <w:rPr>
                  <w:rFonts w:ascii="MS Gothic" w:eastAsia="MS Gothic" w:hAnsi="MS Gothic"/>
                  <w:sz w:val="24"/>
                </w:rPr>
                <w:id w:val="1037"/>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38"/>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4.3</w:t>
            </w:r>
          </w:p>
        </w:tc>
        <w:tc>
          <w:tcPr>
            <w:tcW w:type="dxa" w:w="5184"/>
          </w:tcPr>
          <w:p>
            <w:r>
              <w:rPr>
                <w:sz w:val="20"/>
              </w:rPr>
              <w:t>Change Agreement Status — Active / Suspended / Pending Termination / Terminated, with a reason required</w:t>
            </w:r>
          </w:p>
        </w:tc>
        <w:tc>
          <w:tcPr>
            <w:tcW w:type="dxa" w:w="864"/>
          </w:tcPr>
          <w:p>
            <w:pPr>
              <w:jc w:val="center"/>
            </w:pPr>
            <w:sdt>
              <w:sdtPr>
                <w:rPr>
                  <w:rFonts w:ascii="MS Gothic" w:eastAsia="MS Gothic" w:hAnsi="MS Gothic"/>
                  <w:sz w:val="24"/>
                </w:rPr>
                <w:id w:val="1039"/>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40"/>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4.4</w:t>
            </w:r>
          </w:p>
        </w:tc>
        <w:tc>
          <w:tcPr>
            <w:tcW w:type="dxa" w:w="5184"/>
          </w:tcPr>
          <w:p>
            <w:r>
              <w:rPr>
                <w:sz w:val="20"/>
              </w:rPr>
              <w:t>Status change rights: Finance (all changes), Credit (cannot set Terminated), others cannot change</w:t>
            </w:r>
          </w:p>
        </w:tc>
        <w:tc>
          <w:tcPr>
            <w:tcW w:type="dxa" w:w="864"/>
          </w:tcPr>
          <w:p>
            <w:pPr>
              <w:jc w:val="center"/>
            </w:pPr>
            <w:sdt>
              <w:sdtPr>
                <w:rPr>
                  <w:rFonts w:ascii="MS Gothic" w:eastAsia="MS Gothic" w:hAnsi="MS Gothic"/>
                  <w:sz w:val="24"/>
                </w:rPr>
                <w:id w:val="1041"/>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42"/>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4.5</w:t>
            </w:r>
          </w:p>
        </w:tc>
        <w:tc>
          <w:tcPr>
            <w:tcW w:type="dxa" w:w="5184"/>
          </w:tcPr>
          <w:p>
            <w:r>
              <w:rPr>
                <w:sz w:val="20"/>
              </w:rPr>
              <w:t>Correct reason shown — Suspension reason for Suspended, Cancellation reason for Pending/Terminated</w:t>
            </w:r>
          </w:p>
        </w:tc>
        <w:tc>
          <w:tcPr>
            <w:tcW w:type="dxa" w:w="864"/>
          </w:tcPr>
          <w:p>
            <w:pPr>
              <w:jc w:val="center"/>
            </w:pPr>
            <w:sdt>
              <w:sdtPr>
                <w:rPr>
                  <w:rFonts w:ascii="MS Gothic" w:eastAsia="MS Gothic" w:hAnsi="MS Gothic"/>
                  <w:sz w:val="24"/>
                </w:rPr>
                <w:id w:val="1043"/>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44"/>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4.6</w:t>
            </w:r>
          </w:p>
        </w:tc>
        <w:tc>
          <w:tcPr>
            <w:tcW w:type="dxa" w:w="5184"/>
          </w:tcPr>
          <w:p>
            <w:r>
              <w:rPr>
                <w:sz w:val="20"/>
              </w:rPr>
              <w:t>Nominees — add / edit up to 3 nominees (Member Services + IT only)</w:t>
            </w:r>
          </w:p>
        </w:tc>
        <w:tc>
          <w:tcPr>
            <w:tcW w:type="dxa" w:w="864"/>
          </w:tcPr>
          <w:p>
            <w:pPr>
              <w:jc w:val="center"/>
            </w:pPr>
            <w:sdt>
              <w:sdtPr>
                <w:rPr>
                  <w:rFonts w:ascii="MS Gothic" w:eastAsia="MS Gothic" w:hAnsi="MS Gothic"/>
                  <w:sz w:val="24"/>
                </w:rPr>
                <w:id w:val="1045"/>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46"/>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4.7</w:t>
            </w:r>
          </w:p>
        </w:tc>
        <w:tc>
          <w:tcPr>
            <w:tcW w:type="dxa" w:w="5184"/>
          </w:tcPr>
          <w:p>
            <w:r>
              <w:rPr>
                <w:sz w:val="20"/>
              </w:rPr>
              <w:t>RCI Information — add / edit RCI ID, nominee, joint date and expiry date</w:t>
            </w:r>
          </w:p>
        </w:tc>
        <w:tc>
          <w:tcPr>
            <w:tcW w:type="dxa" w:w="864"/>
          </w:tcPr>
          <w:p>
            <w:pPr>
              <w:jc w:val="center"/>
            </w:pPr>
            <w:sdt>
              <w:sdtPr>
                <w:rPr>
                  <w:rFonts w:ascii="MS Gothic" w:eastAsia="MS Gothic" w:hAnsi="MS Gothic"/>
                  <w:sz w:val="24"/>
                </w:rPr>
                <w:id w:val="1047"/>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48"/>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4.8</w:t>
            </w:r>
          </w:p>
        </w:tc>
        <w:tc>
          <w:tcPr>
            <w:tcW w:type="dxa" w:w="5184"/>
          </w:tcPr>
          <w:p>
            <w:r>
              <w:rPr>
                <w:sz w:val="20"/>
              </w:rPr>
              <w:t>AMC and PBS details show correctly for transferred agreements</w:t>
            </w:r>
          </w:p>
        </w:tc>
        <w:tc>
          <w:tcPr>
            <w:tcW w:type="dxa" w:w="864"/>
          </w:tcPr>
          <w:p>
            <w:pPr>
              <w:jc w:val="center"/>
            </w:pPr>
            <w:sdt>
              <w:sdtPr>
                <w:rPr>
                  <w:rFonts w:ascii="MS Gothic" w:eastAsia="MS Gothic" w:hAnsi="MS Gothic"/>
                  <w:sz w:val="24"/>
                </w:rPr>
                <w:id w:val="1049"/>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50"/>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bl>
    <w:p/>
    <w:p>
      <w:pPr>
        <w:spacing w:before="240" w:after="120"/>
      </w:pPr>
      <w:r>
        <w:rPr>
          <w:b/>
          <w:color w:val="1F4E79"/>
          <w:sz w:val="24"/>
        </w:rPr>
        <w:t>5. AMC Billing</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val="true"/>
        </w:trPr>
        <w:tc>
          <w:tcPr>
            <w:tcW w:type="dxa" w:w="576"/>
            <w:shd w:val="clear" w:color="auto" w:fill="1F4E79"/>
          </w:tcPr>
          <w:p>
            <w:pPr>
              <w:jc w:val="center"/>
            </w:pPr>
            <w:r>
              <w:rPr>
                <w:b/>
                <w:color w:val="FFFFFF"/>
                <w:sz w:val="20"/>
              </w:rPr>
              <w:t>#</w:t>
            </w:r>
          </w:p>
        </w:tc>
        <w:tc>
          <w:tcPr>
            <w:tcW w:type="dxa" w:w="5184"/>
            <w:shd w:val="clear" w:color="auto" w:fill="1F4E79"/>
          </w:tcPr>
          <w:p>
            <w:pPr>
              <w:jc w:val="center"/>
            </w:pPr>
            <w:r>
              <w:rPr>
                <w:b/>
                <w:color w:val="FFFFFF"/>
                <w:sz w:val="20"/>
              </w:rPr>
              <w:t>Function</w:t>
            </w:r>
          </w:p>
        </w:tc>
        <w:tc>
          <w:tcPr>
            <w:tcW w:type="dxa" w:w="864"/>
            <w:shd w:val="clear" w:color="auto" w:fill="1F4E79"/>
          </w:tcPr>
          <w:p>
            <w:pPr>
              <w:jc w:val="center"/>
            </w:pPr>
            <w:r>
              <w:rPr>
                <w:b/>
                <w:color w:val="FFFFFF"/>
                <w:sz w:val="20"/>
              </w:rPr>
              <w:t>Pass</w:t>
            </w:r>
          </w:p>
        </w:tc>
        <w:tc>
          <w:tcPr>
            <w:tcW w:type="dxa" w:w="864"/>
            <w:shd w:val="clear" w:color="auto" w:fill="1F4E79"/>
          </w:tcPr>
          <w:p>
            <w:pPr>
              <w:jc w:val="center"/>
            </w:pPr>
            <w:r>
              <w:rPr>
                <w:b/>
                <w:color w:val="FFFFFF"/>
                <w:sz w:val="20"/>
              </w:rPr>
              <w:t>Fail</w:t>
            </w:r>
          </w:p>
        </w:tc>
        <w:tc>
          <w:tcPr>
            <w:tcW w:type="dxa" w:w="2304"/>
            <w:shd w:val="clear" w:color="auto" w:fill="1F4E79"/>
          </w:tcPr>
          <w:p>
            <w:pPr>
              <w:jc w:val="center"/>
            </w:pPr>
            <w:r>
              <w:rPr>
                <w:b/>
                <w:color w:val="FFFFFF"/>
                <w:sz w:val="20"/>
              </w:rPr>
              <w:t>Remarks</w:t>
            </w:r>
          </w:p>
        </w:tc>
      </w:tr>
      <w:tr>
        <w:tc>
          <w:tcPr>
            <w:tcW w:type="dxa" w:w="576"/>
          </w:tcPr>
          <w:p>
            <w:pPr>
              <w:jc w:val="center"/>
            </w:pPr>
            <w:r>
              <w:rPr>
                <w:sz w:val="20"/>
              </w:rPr>
              <w:t>5.1</w:t>
            </w:r>
          </w:p>
        </w:tc>
        <w:tc>
          <w:tcPr>
            <w:tcW w:type="dxa" w:w="5184"/>
          </w:tcPr>
          <w:p>
            <w:r>
              <w:rPr>
                <w:sz w:val="20"/>
              </w:rPr>
              <w:t>Schedules — search, sort and filter (by product, status and next due date)</w:t>
            </w:r>
          </w:p>
        </w:tc>
        <w:tc>
          <w:tcPr>
            <w:tcW w:type="dxa" w:w="864"/>
          </w:tcPr>
          <w:p>
            <w:pPr>
              <w:jc w:val="center"/>
            </w:pPr>
            <w:sdt>
              <w:sdtPr>
                <w:rPr>
                  <w:rFonts w:ascii="MS Gothic" w:eastAsia="MS Gothic" w:hAnsi="MS Gothic"/>
                  <w:sz w:val="24"/>
                </w:rPr>
                <w:id w:val="1051"/>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52"/>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5.2</w:t>
            </w:r>
          </w:p>
        </w:tc>
        <w:tc>
          <w:tcPr>
            <w:tcW w:type="dxa" w:w="5184"/>
          </w:tcPr>
          <w:p>
            <w:r>
              <w:rPr>
                <w:sz w:val="20"/>
              </w:rPr>
              <w:t>Invoices — view invoice list and invoice detail</w:t>
            </w:r>
          </w:p>
        </w:tc>
        <w:tc>
          <w:tcPr>
            <w:tcW w:type="dxa" w:w="864"/>
          </w:tcPr>
          <w:p>
            <w:pPr>
              <w:jc w:val="center"/>
            </w:pPr>
            <w:sdt>
              <w:sdtPr>
                <w:rPr>
                  <w:rFonts w:ascii="MS Gothic" w:eastAsia="MS Gothic" w:hAnsi="MS Gothic"/>
                  <w:sz w:val="24"/>
                </w:rPr>
                <w:id w:val="1053"/>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54"/>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5.3</w:t>
            </w:r>
          </w:p>
        </w:tc>
        <w:tc>
          <w:tcPr>
            <w:tcW w:type="dxa" w:w="5184"/>
          </w:tcPr>
          <w:p>
            <w:r>
              <w:rPr>
                <w:sz w:val="20"/>
              </w:rPr>
              <w:t>Generate AMC invoices</w:t>
            </w:r>
          </w:p>
        </w:tc>
        <w:tc>
          <w:tcPr>
            <w:tcW w:type="dxa" w:w="864"/>
          </w:tcPr>
          <w:p>
            <w:pPr>
              <w:jc w:val="center"/>
            </w:pPr>
            <w:sdt>
              <w:sdtPr>
                <w:rPr>
                  <w:rFonts w:ascii="MS Gothic" w:eastAsia="MS Gothic" w:hAnsi="MS Gothic"/>
                  <w:sz w:val="24"/>
                </w:rPr>
                <w:id w:val="1055"/>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56"/>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5.4</w:t>
            </w:r>
          </w:p>
        </w:tc>
        <w:tc>
          <w:tcPr>
            <w:tcW w:type="dxa" w:w="5184"/>
          </w:tcPr>
          <w:p>
            <w:r>
              <w:rPr>
                <w:sz w:val="20"/>
              </w:rPr>
              <w:t>Day-End — generate the SQL Account day-end file</w:t>
            </w:r>
          </w:p>
        </w:tc>
        <w:tc>
          <w:tcPr>
            <w:tcW w:type="dxa" w:w="864"/>
          </w:tcPr>
          <w:p>
            <w:pPr>
              <w:jc w:val="center"/>
            </w:pPr>
            <w:sdt>
              <w:sdtPr>
                <w:rPr>
                  <w:rFonts w:ascii="MS Gothic" w:eastAsia="MS Gothic" w:hAnsi="MS Gothic"/>
                  <w:sz w:val="24"/>
                </w:rPr>
                <w:id w:val="1057"/>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58"/>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5.5</w:t>
            </w:r>
          </w:p>
        </w:tc>
        <w:tc>
          <w:tcPr>
            <w:tcW w:type="dxa" w:w="5184"/>
          </w:tcPr>
          <w:p>
            <w:r>
              <w:rPr>
                <w:sz w:val="20"/>
              </w:rPr>
              <w:t>Rates (LHC) — add / edit / activate / deactivate / delete; total and amount-in-words auto-calculated</w:t>
            </w:r>
          </w:p>
        </w:tc>
        <w:tc>
          <w:tcPr>
            <w:tcW w:type="dxa" w:w="864"/>
          </w:tcPr>
          <w:p>
            <w:pPr>
              <w:jc w:val="center"/>
            </w:pPr>
            <w:sdt>
              <w:sdtPr>
                <w:rPr>
                  <w:rFonts w:ascii="MS Gothic" w:eastAsia="MS Gothic" w:hAnsi="MS Gothic"/>
                  <w:sz w:val="24"/>
                </w:rPr>
                <w:id w:val="1059"/>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60"/>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5.6</w:t>
            </w:r>
          </w:p>
        </w:tc>
        <w:tc>
          <w:tcPr>
            <w:tcW w:type="dxa" w:w="5184"/>
          </w:tcPr>
          <w:p>
            <w:r>
              <w:rPr>
                <w:sz w:val="20"/>
              </w:rPr>
              <w:t>Rates (CP points tiers) — add / edit / activate / deactivate / delete</w:t>
            </w:r>
          </w:p>
        </w:tc>
        <w:tc>
          <w:tcPr>
            <w:tcW w:type="dxa" w:w="864"/>
          </w:tcPr>
          <w:p>
            <w:pPr>
              <w:jc w:val="center"/>
            </w:pPr>
            <w:sdt>
              <w:sdtPr>
                <w:rPr>
                  <w:rFonts w:ascii="MS Gothic" w:eastAsia="MS Gothic" w:hAnsi="MS Gothic"/>
                  <w:sz w:val="24"/>
                </w:rPr>
                <w:id w:val="1061"/>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62"/>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bl>
    <w:p/>
    <w:p>
      <w:pPr>
        <w:spacing w:before="240" w:after="120"/>
      </w:pPr>
      <w:r>
        <w:rPr>
          <w:b/>
          <w:color w:val="1F4E79"/>
          <w:sz w:val="24"/>
        </w:rPr>
        <w:t>6. Reports (access granted per user)</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val="true"/>
        </w:trPr>
        <w:tc>
          <w:tcPr>
            <w:tcW w:type="dxa" w:w="576"/>
            <w:shd w:val="clear" w:color="auto" w:fill="1F4E79"/>
          </w:tcPr>
          <w:p>
            <w:pPr>
              <w:jc w:val="center"/>
            </w:pPr>
            <w:r>
              <w:rPr>
                <w:b/>
                <w:color w:val="FFFFFF"/>
                <w:sz w:val="20"/>
              </w:rPr>
              <w:t>#</w:t>
            </w:r>
          </w:p>
        </w:tc>
        <w:tc>
          <w:tcPr>
            <w:tcW w:type="dxa" w:w="5184"/>
            <w:shd w:val="clear" w:color="auto" w:fill="1F4E79"/>
          </w:tcPr>
          <w:p>
            <w:pPr>
              <w:jc w:val="center"/>
            </w:pPr>
            <w:r>
              <w:rPr>
                <w:b/>
                <w:color w:val="FFFFFF"/>
                <w:sz w:val="20"/>
              </w:rPr>
              <w:t>Function</w:t>
            </w:r>
          </w:p>
        </w:tc>
        <w:tc>
          <w:tcPr>
            <w:tcW w:type="dxa" w:w="864"/>
            <w:shd w:val="clear" w:color="auto" w:fill="1F4E79"/>
          </w:tcPr>
          <w:p>
            <w:pPr>
              <w:jc w:val="center"/>
            </w:pPr>
            <w:r>
              <w:rPr>
                <w:b/>
                <w:color w:val="FFFFFF"/>
                <w:sz w:val="20"/>
              </w:rPr>
              <w:t>Pass</w:t>
            </w:r>
          </w:p>
        </w:tc>
        <w:tc>
          <w:tcPr>
            <w:tcW w:type="dxa" w:w="864"/>
            <w:shd w:val="clear" w:color="auto" w:fill="1F4E79"/>
          </w:tcPr>
          <w:p>
            <w:pPr>
              <w:jc w:val="center"/>
            </w:pPr>
            <w:r>
              <w:rPr>
                <w:b/>
                <w:color w:val="FFFFFF"/>
                <w:sz w:val="20"/>
              </w:rPr>
              <w:t>Fail</w:t>
            </w:r>
          </w:p>
        </w:tc>
        <w:tc>
          <w:tcPr>
            <w:tcW w:type="dxa" w:w="2304"/>
            <w:shd w:val="clear" w:color="auto" w:fill="1F4E79"/>
          </w:tcPr>
          <w:p>
            <w:pPr>
              <w:jc w:val="center"/>
            </w:pPr>
            <w:r>
              <w:rPr>
                <w:b/>
                <w:color w:val="FFFFFF"/>
                <w:sz w:val="20"/>
              </w:rPr>
              <w:t>Remarks</w:t>
            </w:r>
          </w:p>
        </w:tc>
      </w:tr>
      <w:tr>
        <w:tc>
          <w:tcPr>
            <w:tcW w:type="dxa" w:w="576"/>
          </w:tcPr>
          <w:p>
            <w:pPr>
              <w:jc w:val="center"/>
            </w:pPr>
            <w:r>
              <w:rPr>
                <w:sz w:val="20"/>
              </w:rPr>
              <w:t>6.1</w:t>
            </w:r>
          </w:p>
        </w:tc>
        <w:tc>
          <w:tcPr>
            <w:tcW w:type="dxa" w:w="5184"/>
          </w:tcPr>
          <w:p>
            <w:r>
              <w:rPr>
                <w:sz w:val="20"/>
              </w:rPr>
              <w:t>Report page shows only the reports the user is allowed to run</w:t>
            </w:r>
          </w:p>
        </w:tc>
        <w:tc>
          <w:tcPr>
            <w:tcW w:type="dxa" w:w="864"/>
          </w:tcPr>
          <w:p>
            <w:pPr>
              <w:jc w:val="center"/>
            </w:pPr>
            <w:sdt>
              <w:sdtPr>
                <w:rPr>
                  <w:rFonts w:ascii="MS Gothic" w:eastAsia="MS Gothic" w:hAnsi="MS Gothic"/>
                  <w:sz w:val="24"/>
                </w:rPr>
                <w:id w:val="1063"/>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64"/>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6.2</w:t>
            </w:r>
          </w:p>
        </w:tc>
        <w:tc>
          <w:tcPr>
            <w:tcW w:type="dxa" w:w="5184"/>
          </w:tcPr>
          <w:p>
            <w:r>
              <w:rPr>
                <w:sz w:val="20"/>
              </w:rPr>
              <w:t>Member Report — on-screen preview + download as PDF / Excel</w:t>
            </w:r>
          </w:p>
        </w:tc>
        <w:tc>
          <w:tcPr>
            <w:tcW w:type="dxa" w:w="864"/>
          </w:tcPr>
          <w:p>
            <w:pPr>
              <w:jc w:val="center"/>
            </w:pPr>
            <w:sdt>
              <w:sdtPr>
                <w:rPr>
                  <w:rFonts w:ascii="MS Gothic" w:eastAsia="MS Gothic" w:hAnsi="MS Gothic"/>
                  <w:sz w:val="24"/>
                </w:rPr>
                <w:id w:val="1065"/>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66"/>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6.3</w:t>
            </w:r>
          </w:p>
        </w:tc>
        <w:tc>
          <w:tcPr>
            <w:tcW w:type="dxa" w:w="5184"/>
          </w:tcPr>
          <w:p>
            <w:r>
              <w:rPr>
                <w:sz w:val="20"/>
              </w:rPr>
              <w:t>SSM Agreement Report — preview + PDF / Excel</w:t>
            </w:r>
          </w:p>
        </w:tc>
        <w:tc>
          <w:tcPr>
            <w:tcW w:type="dxa" w:w="864"/>
          </w:tcPr>
          <w:p>
            <w:pPr>
              <w:jc w:val="center"/>
            </w:pPr>
            <w:sdt>
              <w:sdtPr>
                <w:rPr>
                  <w:rFonts w:ascii="MS Gothic" w:eastAsia="MS Gothic" w:hAnsi="MS Gothic"/>
                  <w:sz w:val="24"/>
                </w:rPr>
                <w:id w:val="1067"/>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68"/>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6.4</w:t>
            </w:r>
          </w:p>
        </w:tc>
        <w:tc>
          <w:tcPr>
            <w:tcW w:type="dxa" w:w="5184"/>
          </w:tcPr>
          <w:p>
            <w:r>
              <w:rPr>
                <w:sz w:val="20"/>
              </w:rPr>
              <w:t>Expiry Analysis — preview + PDF / Excel</w:t>
            </w:r>
          </w:p>
        </w:tc>
        <w:tc>
          <w:tcPr>
            <w:tcW w:type="dxa" w:w="864"/>
          </w:tcPr>
          <w:p>
            <w:pPr>
              <w:jc w:val="center"/>
            </w:pPr>
            <w:sdt>
              <w:sdtPr>
                <w:rPr>
                  <w:rFonts w:ascii="MS Gothic" w:eastAsia="MS Gothic" w:hAnsi="MS Gothic"/>
                  <w:sz w:val="24"/>
                </w:rPr>
                <w:id w:val="1069"/>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70"/>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6.5</w:t>
            </w:r>
          </w:p>
        </w:tc>
        <w:tc>
          <w:tcPr>
            <w:tcW w:type="dxa" w:w="5184"/>
          </w:tcPr>
          <w:p>
            <w:r>
              <w:rPr>
                <w:sz w:val="20"/>
              </w:rPr>
              <w:t>Expiring Members — preview + PDF / Excel</w:t>
            </w:r>
          </w:p>
        </w:tc>
        <w:tc>
          <w:tcPr>
            <w:tcW w:type="dxa" w:w="864"/>
          </w:tcPr>
          <w:p>
            <w:pPr>
              <w:jc w:val="center"/>
            </w:pPr>
            <w:sdt>
              <w:sdtPr>
                <w:rPr>
                  <w:rFonts w:ascii="MS Gothic" w:eastAsia="MS Gothic" w:hAnsi="MS Gothic"/>
                  <w:sz w:val="24"/>
                </w:rPr>
                <w:id w:val="1071"/>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72"/>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6.6</w:t>
            </w:r>
          </w:p>
        </w:tc>
        <w:tc>
          <w:tcPr>
            <w:tcW w:type="dxa" w:w="5184"/>
          </w:tcPr>
          <w:p>
            <w:r>
              <w:rPr>
                <w:sz w:val="20"/>
              </w:rPr>
              <w:t>Remaining Value — preview + Excel</w:t>
            </w:r>
          </w:p>
        </w:tc>
        <w:tc>
          <w:tcPr>
            <w:tcW w:type="dxa" w:w="864"/>
          </w:tcPr>
          <w:p>
            <w:pPr>
              <w:jc w:val="center"/>
            </w:pPr>
            <w:sdt>
              <w:sdtPr>
                <w:rPr>
                  <w:rFonts w:ascii="MS Gothic" w:eastAsia="MS Gothic" w:hAnsi="MS Gothic"/>
                  <w:sz w:val="24"/>
                </w:rPr>
                <w:id w:val="1073"/>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74"/>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6.7</w:t>
            </w:r>
          </w:p>
        </w:tc>
        <w:tc>
          <w:tcPr>
            <w:tcW w:type="dxa" w:w="5184"/>
          </w:tcPr>
          <w:p>
            <w:r>
              <w:rPr>
                <w:sz w:val="20"/>
              </w:rPr>
              <w:t>Expiry Summary by Years — preview + PDF / Excel</w:t>
            </w:r>
          </w:p>
        </w:tc>
        <w:tc>
          <w:tcPr>
            <w:tcW w:type="dxa" w:w="864"/>
          </w:tcPr>
          <w:p>
            <w:pPr>
              <w:jc w:val="center"/>
            </w:pPr>
            <w:sdt>
              <w:sdtPr>
                <w:rPr>
                  <w:rFonts w:ascii="MS Gothic" w:eastAsia="MS Gothic" w:hAnsi="MS Gothic"/>
                  <w:sz w:val="24"/>
                </w:rPr>
                <w:id w:val="1075"/>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76"/>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bl>
    <w:p/>
    <w:p>
      <w:pPr>
        <w:spacing w:before="240" w:after="120"/>
      </w:pPr>
      <w:r>
        <w:rPr>
          <w:b/>
          <w:color w:val="1F4E79"/>
          <w:sz w:val="24"/>
        </w:rPr>
        <w:t>7. Zurich PBS (Payback Scheme)</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val="true"/>
        </w:trPr>
        <w:tc>
          <w:tcPr>
            <w:tcW w:type="dxa" w:w="576"/>
            <w:shd w:val="clear" w:color="auto" w:fill="1F4E79"/>
          </w:tcPr>
          <w:p>
            <w:pPr>
              <w:jc w:val="center"/>
            </w:pPr>
            <w:r>
              <w:rPr>
                <w:b/>
                <w:color w:val="FFFFFF"/>
                <w:sz w:val="20"/>
              </w:rPr>
              <w:t>#</w:t>
            </w:r>
          </w:p>
        </w:tc>
        <w:tc>
          <w:tcPr>
            <w:tcW w:type="dxa" w:w="5184"/>
            <w:shd w:val="clear" w:color="auto" w:fill="1F4E79"/>
          </w:tcPr>
          <w:p>
            <w:pPr>
              <w:jc w:val="center"/>
            </w:pPr>
            <w:r>
              <w:rPr>
                <w:b/>
                <w:color w:val="FFFFFF"/>
                <w:sz w:val="20"/>
              </w:rPr>
              <w:t>Function</w:t>
            </w:r>
          </w:p>
        </w:tc>
        <w:tc>
          <w:tcPr>
            <w:tcW w:type="dxa" w:w="864"/>
            <w:shd w:val="clear" w:color="auto" w:fill="1F4E79"/>
          </w:tcPr>
          <w:p>
            <w:pPr>
              <w:jc w:val="center"/>
            </w:pPr>
            <w:r>
              <w:rPr>
                <w:b/>
                <w:color w:val="FFFFFF"/>
                <w:sz w:val="20"/>
              </w:rPr>
              <w:t>Pass</w:t>
            </w:r>
          </w:p>
        </w:tc>
        <w:tc>
          <w:tcPr>
            <w:tcW w:type="dxa" w:w="864"/>
            <w:shd w:val="clear" w:color="auto" w:fill="1F4E79"/>
          </w:tcPr>
          <w:p>
            <w:pPr>
              <w:jc w:val="center"/>
            </w:pPr>
            <w:r>
              <w:rPr>
                <w:b/>
                <w:color w:val="FFFFFF"/>
                <w:sz w:val="20"/>
              </w:rPr>
              <w:t>Fail</w:t>
            </w:r>
          </w:p>
        </w:tc>
        <w:tc>
          <w:tcPr>
            <w:tcW w:type="dxa" w:w="2304"/>
            <w:shd w:val="clear" w:color="auto" w:fill="1F4E79"/>
          </w:tcPr>
          <w:p>
            <w:pPr>
              <w:jc w:val="center"/>
            </w:pPr>
            <w:r>
              <w:rPr>
                <w:b/>
                <w:color w:val="FFFFFF"/>
                <w:sz w:val="20"/>
              </w:rPr>
              <w:t>Remarks</w:t>
            </w:r>
          </w:p>
        </w:tc>
      </w:tr>
      <w:tr>
        <w:tc>
          <w:tcPr>
            <w:tcW w:type="dxa" w:w="576"/>
          </w:tcPr>
          <w:p>
            <w:pPr>
              <w:jc w:val="center"/>
            </w:pPr>
            <w:r>
              <w:rPr>
                <w:sz w:val="20"/>
              </w:rPr>
              <w:t>7.1</w:t>
            </w:r>
          </w:p>
        </w:tc>
        <w:tc>
          <w:tcPr>
            <w:tcW w:type="dxa" w:w="5184"/>
          </w:tcPr>
          <w:p>
            <w:r>
              <w:rPr>
                <w:sz w:val="20"/>
              </w:rPr>
              <w:t>PBS landing page — function cards</w:t>
            </w:r>
          </w:p>
        </w:tc>
        <w:tc>
          <w:tcPr>
            <w:tcW w:type="dxa" w:w="864"/>
          </w:tcPr>
          <w:p>
            <w:pPr>
              <w:jc w:val="center"/>
            </w:pPr>
            <w:sdt>
              <w:sdtPr>
                <w:rPr>
                  <w:rFonts w:ascii="MS Gothic" w:eastAsia="MS Gothic" w:hAnsi="MS Gothic"/>
                  <w:sz w:val="24"/>
                </w:rPr>
                <w:id w:val="1077"/>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78"/>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7.2</w:t>
            </w:r>
          </w:p>
        </w:tc>
        <w:tc>
          <w:tcPr>
            <w:tcW w:type="dxa" w:w="5184"/>
          </w:tcPr>
          <w:p>
            <w:r>
              <w:rPr>
                <w:sz w:val="20"/>
              </w:rPr>
              <w:t>PBS Enquiry &amp; Maintenance — search, view and edit scheme (cert no, scheme type, remark)</w:t>
            </w:r>
          </w:p>
        </w:tc>
        <w:tc>
          <w:tcPr>
            <w:tcW w:type="dxa" w:w="864"/>
          </w:tcPr>
          <w:p>
            <w:pPr>
              <w:jc w:val="center"/>
            </w:pPr>
            <w:sdt>
              <w:sdtPr>
                <w:rPr>
                  <w:rFonts w:ascii="MS Gothic" w:eastAsia="MS Gothic" w:hAnsi="MS Gothic"/>
                  <w:sz w:val="24"/>
                </w:rPr>
                <w:id w:val="1079"/>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80"/>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7.3</w:t>
            </w:r>
          </w:p>
        </w:tc>
        <w:tc>
          <w:tcPr>
            <w:tcW w:type="dxa" w:w="5184"/>
          </w:tcPr>
          <w:p>
            <w:r>
              <w:rPr>
                <w:sz w:val="20"/>
              </w:rPr>
              <w:t>PBS Claims — add / edit / delete claims; claim indicator and amount set automatically by claim type</w:t>
            </w:r>
          </w:p>
        </w:tc>
        <w:tc>
          <w:tcPr>
            <w:tcW w:type="dxa" w:w="864"/>
          </w:tcPr>
          <w:p>
            <w:pPr>
              <w:jc w:val="center"/>
            </w:pPr>
            <w:sdt>
              <w:sdtPr>
                <w:rPr>
                  <w:rFonts w:ascii="MS Gothic" w:eastAsia="MS Gothic" w:hAnsi="MS Gothic"/>
                  <w:sz w:val="24"/>
                </w:rPr>
                <w:id w:val="1081"/>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82"/>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7.4</w:t>
            </w:r>
          </w:p>
        </w:tc>
        <w:tc>
          <w:tcPr>
            <w:tcW w:type="dxa" w:w="5184"/>
          </w:tcPr>
          <w:p>
            <w:r>
              <w:rPr>
                <w:sz w:val="20"/>
              </w:rPr>
              <w:t>PBS Pay By Month / Year Report — Excel (monthly + yearly summary sheets)</w:t>
            </w:r>
          </w:p>
        </w:tc>
        <w:tc>
          <w:tcPr>
            <w:tcW w:type="dxa" w:w="864"/>
          </w:tcPr>
          <w:p>
            <w:pPr>
              <w:jc w:val="center"/>
            </w:pPr>
            <w:sdt>
              <w:sdtPr>
                <w:rPr>
                  <w:rFonts w:ascii="MS Gothic" w:eastAsia="MS Gothic" w:hAnsi="MS Gothic"/>
                  <w:sz w:val="24"/>
                </w:rPr>
                <w:id w:val="1083"/>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84"/>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7.5</w:t>
            </w:r>
          </w:p>
        </w:tc>
        <w:tc>
          <w:tcPr>
            <w:tcW w:type="dxa" w:w="5184"/>
          </w:tcPr>
          <w:p>
            <w:r>
              <w:rPr>
                <w:sz w:val="20"/>
              </w:rPr>
              <w:t>PBS Claim Report — Excel (non-ND + ND claim sheets)</w:t>
            </w:r>
          </w:p>
        </w:tc>
        <w:tc>
          <w:tcPr>
            <w:tcW w:type="dxa" w:w="864"/>
          </w:tcPr>
          <w:p>
            <w:pPr>
              <w:jc w:val="center"/>
            </w:pPr>
            <w:sdt>
              <w:sdtPr>
                <w:rPr>
                  <w:rFonts w:ascii="MS Gothic" w:eastAsia="MS Gothic" w:hAnsi="MS Gothic"/>
                  <w:sz w:val="24"/>
                </w:rPr>
                <w:id w:val="1085"/>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86"/>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7.6</w:t>
            </w:r>
          </w:p>
        </w:tc>
        <w:tc>
          <w:tcPr>
            <w:tcW w:type="dxa" w:w="5184"/>
          </w:tcPr>
          <w:p>
            <w:r>
              <w:rPr>
                <w:sz w:val="20"/>
              </w:rPr>
              <w:t>Not In PBS Report — text file output</w:t>
            </w:r>
          </w:p>
        </w:tc>
        <w:tc>
          <w:tcPr>
            <w:tcW w:type="dxa" w:w="864"/>
          </w:tcPr>
          <w:p>
            <w:pPr>
              <w:jc w:val="center"/>
            </w:pPr>
            <w:sdt>
              <w:sdtPr>
                <w:rPr>
                  <w:rFonts w:ascii="MS Gothic" w:eastAsia="MS Gothic" w:hAnsi="MS Gothic"/>
                  <w:sz w:val="24"/>
                </w:rPr>
                <w:id w:val="1087"/>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88"/>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r>
        <w:tc>
          <w:tcPr>
            <w:tcW w:type="dxa" w:w="576"/>
          </w:tcPr>
          <w:p>
            <w:pPr>
              <w:jc w:val="center"/>
            </w:pPr>
            <w:r>
              <w:rPr>
                <w:sz w:val="20"/>
              </w:rPr>
              <w:t>7.7</w:t>
            </w:r>
          </w:p>
        </w:tc>
        <w:tc>
          <w:tcPr>
            <w:tcW w:type="dxa" w:w="5184"/>
          </w:tcPr>
          <w:p>
            <w:r>
              <w:rPr>
                <w:sz w:val="20"/>
              </w:rPr>
              <w:t>PBS Variance Report — Excel (rightful vs Zurich scheme type)</w:t>
            </w:r>
          </w:p>
        </w:tc>
        <w:tc>
          <w:tcPr>
            <w:tcW w:type="dxa" w:w="864"/>
          </w:tcPr>
          <w:p>
            <w:pPr>
              <w:jc w:val="center"/>
            </w:pPr>
            <w:sdt>
              <w:sdtPr>
                <w:rPr>
                  <w:rFonts w:ascii="MS Gothic" w:eastAsia="MS Gothic" w:hAnsi="MS Gothic"/>
                  <w:sz w:val="24"/>
                </w:rPr>
                <w:id w:val="1089"/>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864"/>
          </w:tcPr>
          <w:p>
            <w:pPr>
              <w:jc w:val="center"/>
            </w:pPr>
            <w:sdt>
              <w:sdtPr>
                <w:rPr>
                  <w:rFonts w:ascii="MS Gothic" w:eastAsia="MS Gothic" w:hAnsi="MS Gothic"/>
                  <w:sz w:val="24"/>
                </w:rPr>
                <w:id w:val="1090"/>
                <w14:checkbox>
                  <w14:checked w14:val="0"/>
                  <w14:checkedState w14:val="2612" w14:font="MS Gothic"/>
                  <w14:uncheckedState w14:val="2610" w14:font="MS Gothic"/>
                </w14:checkbox>
              </w:sdtPr>
              <w:sdtContent>
                <w:r>
                  <w:rPr>
                    <w:rFonts w:ascii="MS Gothic" w:eastAsia="MS Gothic" w:hAnsi="MS Gothic"/>
                    <w:sz w:val="24"/>
                  </w:rPr>
                  <w:t>☐</w:t>
                </w:r>
              </w:sdtContent>
            </w:sdt>
          </w:p>
        </w:tc>
        <w:tc>
          <w:tcPr>
            <w:tcW w:type="dxa" w:w="2304"/>
          </w:tcPr>
          <w:p>
            <w:r>
              <w:rPr>
                <w:sz w:val="20"/>
              </w:rPr>
            </w:r>
          </w:p>
        </w:tc>
      </w:tr>
    </w:tbl>
    <w:p/>
    <w:p>
      <w:r>
        <w:rPr>
          <w:b/>
        </w:rPr>
        <w:t xml:space="preserve">Note: </w:t>
      </w:r>
      <w:r>
        <w:t>The following PBS functions are not yet delivered and are out of scope for this UAT: Proforma, Certificate Tracking, Auto Transfer, PBS Report.</w:t>
      </w:r>
    </w:p>
    <w:p>
      <w:r>
        <w:br w:type="page"/>
      </w:r>
    </w:p>
    <w:p>
      <w:pPr>
        <w:spacing w:before="240" w:after="120"/>
      </w:pPr>
      <w:r>
        <w:rPr>
          <w:b/>
          <w:color w:val="1F4E79"/>
          <w:sz w:val="26"/>
        </w:rPr>
        <w:t>Overall Assessment</w:t>
      </w:r>
    </w:p>
    <w:tbl>
      <w:tblPr>
        <w:tblStyle w:val="TableGrid"/>
        <w:tblW w:type="auto" w:w="0"/>
        <w:tblLook w:firstColumn="1" w:firstRow="1" w:lastColumn="0" w:lastRow="0" w:noHBand="0" w:noVBand="1" w:val="04A0"/>
      </w:tblPr>
      <w:tblGrid>
        <w:gridCol w:w="4320"/>
        <w:gridCol w:w="4320"/>
      </w:tblGrid>
      <w:tr>
        <w:tc>
          <w:tcPr>
            <w:tcW w:type="dxa" w:w="5472"/>
            <w:shd w:val="clear" w:color="auto" w:fill="DCE6F1"/>
          </w:tcPr>
          <w:p>
            <w:r>
              <w:rPr>
                <w:b/>
              </w:rPr>
              <w:t>Total items tested</w:t>
            </w:r>
          </w:p>
        </w:tc>
        <w:tc>
          <w:tcPr>
            <w:tcW w:type="dxa" w:w="4320"/>
          </w:tcPr>
          <w:p>
            <w:r/>
          </w:p>
        </w:tc>
      </w:tr>
      <w:tr>
        <w:tc>
          <w:tcPr>
            <w:tcW w:type="dxa" w:w="5472"/>
            <w:shd w:val="clear" w:color="auto" w:fill="DCE6F1"/>
          </w:tcPr>
          <w:p>
            <w:r>
              <w:rPr>
                <w:b/>
              </w:rPr>
              <w:t>Passed</w:t>
            </w:r>
          </w:p>
        </w:tc>
        <w:tc>
          <w:tcPr>
            <w:tcW w:type="dxa" w:w="4320"/>
          </w:tcPr>
          <w:p>
            <w:r/>
          </w:p>
        </w:tc>
      </w:tr>
      <w:tr>
        <w:tc>
          <w:tcPr>
            <w:tcW w:type="dxa" w:w="5472"/>
            <w:shd w:val="clear" w:color="auto" w:fill="DCE6F1"/>
          </w:tcPr>
          <w:p>
            <w:r>
              <w:rPr>
                <w:b/>
              </w:rPr>
              <w:t>Failed</w:t>
            </w:r>
          </w:p>
        </w:tc>
        <w:tc>
          <w:tcPr>
            <w:tcW w:type="dxa" w:w="4320"/>
          </w:tcPr>
          <w:p>
            <w:r/>
          </w:p>
        </w:tc>
      </w:tr>
      <w:tr>
        <w:tc>
          <w:tcPr>
            <w:tcW w:type="dxa" w:w="5472"/>
            <w:shd w:val="clear" w:color="auto" w:fill="DCE6F1"/>
          </w:tcPr>
          <w:p>
            <w:r>
              <w:rPr>
                <w:b/>
              </w:rPr>
              <w:t>Outstanding issues to resolve before go-live</w:t>
            </w:r>
          </w:p>
        </w:tc>
        <w:tc>
          <w:tcPr>
            <w:tcW w:type="dxa" w:w="4320"/>
          </w:tcPr>
          <w:p>
            <w:r/>
          </w:p>
        </w:tc>
      </w:tr>
    </w:tbl>
    <w:p/>
    <w:p>
      <w:pPr>
        <w:spacing w:before="240" w:after="120"/>
      </w:pPr>
      <w:r>
        <w:rPr>
          <w:b/>
          <w:color w:val="1F4E79"/>
          <w:sz w:val="26"/>
        </w:rPr>
        <w:t>Sign-Off</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jc w:val="center"/>
            </w:pPr>
            <w:r>
              <w:rPr>
                <w:b/>
                <w:color w:val="FFFFFF"/>
              </w:rPr>
              <w:t>Role</w:t>
            </w:r>
          </w:p>
        </w:tc>
        <w:tc>
          <w:tcPr>
            <w:tcW w:type="dxa" w:w="2160"/>
            <w:shd w:val="clear" w:color="auto" w:fill="1F4E79"/>
          </w:tcPr>
          <w:p>
            <w:pPr>
              <w:jc w:val="center"/>
            </w:pPr>
            <w:r>
              <w:rPr>
                <w:b/>
                <w:color w:val="FFFFFF"/>
              </w:rPr>
              <w:t>Name</w:t>
            </w:r>
          </w:p>
        </w:tc>
        <w:tc>
          <w:tcPr>
            <w:tcW w:type="dxa" w:w="2160"/>
            <w:shd w:val="clear" w:color="auto" w:fill="1F4E79"/>
          </w:tcPr>
          <w:p>
            <w:pPr>
              <w:jc w:val="center"/>
            </w:pPr>
            <w:r>
              <w:rPr>
                <w:b/>
                <w:color w:val="FFFFFF"/>
              </w:rPr>
              <w:t>Signature</w:t>
            </w:r>
          </w:p>
        </w:tc>
        <w:tc>
          <w:tcPr>
            <w:tcW w:type="dxa" w:w="2160"/>
            <w:shd w:val="clear" w:color="auto" w:fill="1F4E79"/>
          </w:tcPr>
          <w:p>
            <w:pPr>
              <w:jc w:val="center"/>
            </w:pPr>
            <w:r>
              <w:rPr>
                <w:b/>
                <w:color w:val="FFFFFF"/>
              </w:rPr>
              <w:t>Date</w:t>
            </w:r>
          </w:p>
        </w:tc>
      </w:tr>
      <w:tr>
        <w:tc>
          <w:tcPr>
            <w:tcW w:type="dxa" w:w="2160"/>
          </w:tcPr>
          <w:p>
            <w:r>
              <w:rPr>
                <w:b/>
              </w:rPr>
              <w:t>User / Department Head</w:t>
            </w:r>
          </w:p>
        </w:tc>
        <w:tc>
          <w:tcPr>
            <w:tcW w:type="dxa" w:w="2160"/>
          </w:tcPr>
          <w:p/>
        </w:tc>
        <w:tc>
          <w:tcPr>
            <w:tcW w:type="dxa" w:w="2160"/>
          </w:tcPr>
          <w:p/>
        </w:tc>
        <w:tc>
          <w:tcPr>
            <w:tcW w:type="dxa" w:w="2160"/>
          </w:tcPr>
          <w:p/>
        </w:tc>
      </w:tr>
      <w:tr>
        <w:tc>
          <w:tcPr>
            <w:tcW w:type="dxa" w:w="2160"/>
          </w:tcPr>
          <w:p>
            <w:r>
              <w:rPr>
                <w:b/>
              </w:rPr>
              <w:t>IT / Project Owner</w:t>
            </w:r>
          </w:p>
        </w:tc>
        <w:tc>
          <w:tcPr>
            <w:tcW w:type="dxa" w:w="2160"/>
          </w:tcPr>
          <w:p/>
        </w:tc>
        <w:tc>
          <w:tcPr>
            <w:tcW w:type="dxa" w:w="2160"/>
          </w:tcPr>
          <w:p/>
        </w:tc>
        <w:tc>
          <w:tcPr>
            <w:tcW w:type="dxa" w:w="2160"/>
          </w:tcPr>
          <w:p/>
        </w:tc>
      </w:tr>
      <w:tr>
        <w:tc>
          <w:tcPr>
            <w:tcW w:type="dxa" w:w="2160"/>
          </w:tcPr>
          <w:p>
            <w:r>
              <w:rPr>
                <w:b/>
              </w:rPr>
              <w:t>Management Approval</w:t>
            </w:r>
          </w:p>
        </w:tc>
        <w:tc>
          <w:tcPr>
            <w:tcW w:type="dxa" w:w="2160"/>
          </w:tcPr>
          <w:p/>
        </w:tc>
        <w:tc>
          <w:tcPr>
            <w:tcW w:type="dxa" w:w="2160"/>
          </w:tcPr>
          <w:p/>
        </w:tc>
        <w:tc>
          <w:tcPr>
            <w:tcW w:type="dxa" w:w="2160"/>
          </w:tcPr>
          <w:p/>
        </w:tc>
      </w:tr>
    </w:tbl>
    <w:p/>
    <w:p>
      <w:r>
        <w:rPr>
          <w:b/>
        </w:rPr>
        <w:t xml:space="preserve">UAT Result:    </w:t>
      </w:r>
      <w:sdt>
        <w:sdtPr>
          <w:rPr>
            <w:rFonts w:ascii="MS Gothic" w:eastAsia="MS Gothic" w:hAnsi="MS Gothic"/>
            <w:sz w:val="24"/>
          </w:rPr>
          <w:id w:val="1091"/>
          <w14:checkbox>
            <w14:checked w14:val="0"/>
            <w14:checkedState w14:val="2612" w14:font="MS Gothic"/>
            <w14:uncheckedState w14:val="2610" w14:font="MS Gothic"/>
          </w14:checkbox>
        </w:sdtPr>
        <w:sdtContent>
          <w:r>
            <w:rPr>
              <w:rFonts w:ascii="MS Gothic" w:eastAsia="MS Gothic" w:hAnsi="MS Gothic"/>
              <w:sz w:val="24"/>
            </w:rPr>
            <w:t>☐</w:t>
          </w:r>
        </w:sdtContent>
      </w:sdt>
      <w:r>
        <w:t xml:space="preserve"> Accepted        </w:t>
      </w:r>
      <w:sdt>
        <w:sdtPr>
          <w:rPr>
            <w:rFonts w:ascii="MS Gothic" w:eastAsia="MS Gothic" w:hAnsi="MS Gothic"/>
            <w:sz w:val="24"/>
          </w:rPr>
          <w:id w:val="1092"/>
          <w14:checkbox>
            <w14:checked w14:val="0"/>
            <w14:checkedState w14:val="2612" w14:font="MS Gothic"/>
            <w14:uncheckedState w14:val="2610" w14:font="MS Gothic"/>
          </w14:checkbox>
        </w:sdtPr>
        <w:sdtContent>
          <w:r>
            <w:rPr>
              <w:rFonts w:ascii="MS Gothic" w:eastAsia="MS Gothic" w:hAnsi="MS Gothic"/>
              <w:sz w:val="24"/>
            </w:rPr>
            <w:t>☐</w:t>
          </w:r>
        </w:sdtContent>
      </w:sdt>
      <w:r>
        <w:t xml:space="preserve"> Accepted with conditions        </w:t>
      </w:r>
      <w:sdt>
        <w:sdtPr>
          <w:rPr>
            <w:rFonts w:ascii="MS Gothic" w:eastAsia="MS Gothic" w:hAnsi="MS Gothic"/>
            <w:sz w:val="24"/>
          </w:rPr>
          <w:id w:val="1093"/>
          <w14:checkbox>
            <w14:checked w14:val="0"/>
            <w14:checkedState w14:val="2612" w14:font="MS Gothic"/>
            <w14:uncheckedState w14:val="2610" w14:font="MS Gothic"/>
          </w14:checkbox>
        </w:sdtPr>
        <w:sdtContent>
          <w:r>
            <w:rPr>
              <w:rFonts w:ascii="MS Gothic" w:eastAsia="MS Gothic" w:hAnsi="MS Gothic"/>
              <w:sz w:val="24"/>
            </w:rPr>
            <w:t>☐</w:t>
          </w:r>
        </w:sdtContent>
      </w:sdt>
      <w:r>
        <w:t xml:space="preserve"> Rejected</w:t>
      </w:r>
    </w:p>
    <w:p>
      <w:r>
        <w:rPr>
          <w:i/>
          <w:color w:val="808080"/>
          <w:sz w:val="16"/>
        </w:rPr>
        <w:t>Generated for UAT of LHB MMS. Reference: system module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