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df" ContentType="application/pdf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Case</w:t>
      </w:r>
      <w:r>
        <w:t xml:space="preserve"> </w:t>
      </w:r>
      <w:r>
        <w:t xml:space="preserve">for</w:t>
      </w:r>
      <w:r>
        <w:t xml:space="preserve"> </w:t>
      </w:r>
      <w:r>
        <w:t xml:space="preserve">Converters</w:t>
      </w:r>
      <w:r>
        <w:t xml:space="preserve"> </w:t>
      </w:r>
      <w:r>
        <w:t xml:space="preserve">from</w:t>
      </w:r>
      <w:r>
        <w:t xml:space="preserve"> </w:t>
      </w:r>
      <w:r>
        <w:t xml:space="preserve">LaTeX</w:t>
      </w:r>
      <w:r>
        <w:t xml:space="preserve"> </w:t>
      </w:r>
      <w:r>
        <w:t xml:space="preserve">to</w:t>
      </w:r>
      <w:r>
        <w:t xml:space="preserve"> </w:t>
      </w:r>
      <w:r>
        <w:t xml:space="preserve">Word</w:t>
      </w:r>
      <w:r>
        <w:t xml:space="preserve"> </w:t>
      </w:r>
      <w:r>
        <w:t xml:space="preserve">Processor</w:t>
      </w:r>
      <w:r>
        <w:t xml:space="preserve"> </w:t>
      </w:r>
      <w:r>
        <w:t xml:space="preserve">Format</w:t>
      </w:r>
    </w:p>
    <w:bookmarkStart w:id="21" w:name="introduction"/>
    <w:p>
      <w:pPr>
        <w:pStyle w:val="Heading1"/>
      </w:pPr>
      <w:r>
        <w:t xml:space="preserve">Introduction</w:t>
      </w:r>
    </w:p>
    <w:bookmarkEnd w:id="21"/>
    <w:p>
      <w:r>
        <w:t xml:space="preserve">Mathematical formulae are the nemesis of converters. This is a simple inline equation: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 This one contains a fraction:</w:t>
      </w:r>
      <w:r>
        <w:t xml:space="preserve"> </w:t>
      </w:r>
      <m:oMath>
        <m:r>
          <m:rPr/>
          <m:t>y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2</m:t>
            </m:r>
          </m:den>
        </m:f>
      </m:oMath>
      <w:r>
        <w:t xml:space="preserve">. The following one has a subscript:</w:t>
      </w:r>
      <w:r>
        <w:t xml:space="preserve"> </w:t>
      </w:r>
      <m:oMath>
        <m:sSub>
          <m:e>
            <m:r>
              <m:rPr/>
              <m:t>z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t</m:t>
        </m:r>
      </m:oMath>
      <w:r>
        <w:t xml:space="preserve">. Here goes a summation:</w:t>
      </w:r>
      <w:r>
        <w:t xml:space="preserve"> </w:t>
      </w:r>
      <m:oMath>
        <m:nary>
          <m:naryPr>
            <m:chr m:val="∑"/>
            <m:limLoc m:val="subSup"/>
            <m:supHide m:val="off"/>
            <m:supHide m:val="off"/>
          </m:naryPr>
          <m:e>
            <m:sSubSup>
              <m:e>
                <m:r>
                  <m:rPr/>
                  <m:t>a</m:t>
                </m:r>
              </m:e>
              <m:sub>
                <m:r>
                  <m:rPr/>
                  <m:t>i</m:t>
                </m:r>
              </m:sub>
              <m:sup>
                <m:r>
                  <m:rPr/>
                  <m:t>2</m:t>
                </m:r>
              </m:sup>
            </m:sSubSup>
          </m:e>
          <m:sub>
            <m:r>
              <m:rPr/>
              <m:t>i</m:t>
            </m:r>
            <m:r>
              <m:rPr/>
              <m:t>=</m:t>
            </m:r>
            <m:r>
              <m:rPr/>
              <m:t>0</m:t>
            </m:r>
          </m:sub>
          <m:sup>
            <m:r>
              <m:rPr/>
              <m:t>∞</m:t>
            </m:r>
          </m:sup>
        </m:nary>
      </m:oMath>
      <w:r>
        <w:t xml:space="preserve">.</w:t>
      </w:r>
    </w:p>
    <w:p>
      <w:r>
        <w:t xml:space="preserve">The following is a simple equation: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supHide m:val="off"/>
              <m:supHide m:val="off"/>
            </m:naryPr>
            <m:e>
              <m:sSubSup>
                <m:e>
                  <m:r>
                    <m:rPr/>
                    <m:t>a</m:t>
                  </m:r>
                </m:e>
                <m:sub>
                  <m:r>
                    <m:rPr/>
                    <m:t>i</m:t>
                  </m:r>
                </m:sub>
                <m:sup>
                  <m:r>
                    <m:rPr/>
                    <m:t>2</m:t>
                  </m:r>
                </m:sup>
              </m:sSub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∞</m:t>
              </m:r>
            </m:sup>
          </m:nary>
          <m:r>
            <m:rPr/>
            <m:t>.</m:t>
          </m:r>
        </m:oMath>
      </m:oMathPara>
    </w:p>
    <w:p>
      <w:r>
        <w:t xml:space="preserve">This equation includes the identity operator from amssymb: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supHide m:val="off"/>
              <m:supHide m:val="off"/>
            </m:naryPr>
            <m:e>
              <m:nary>
                <m:naryPr>
                  <m:chr m:val="Π"/>
                  <m:limLoc m:val="subSup"/>
                  <m:supHide m:val="off"/>
                  <m:supHide m:val="off"/>
                </m:naryPr>
                <m:e>
                  <m:r>
                    <m:rPr/>
                    <m:t>=</m:t>
                  </m:r>
                </m:e>
                <m:sub>
                  <m:r>
                    <m:rPr/>
                    <m:t>i</m:t>
                  </m:r>
                </m:sub>
                <m:sup/>
              </m:nary>
            </m:e>
            <m:sub>
              <m:r>
                <m:rPr/>
                <m:t>i</m:t>
              </m:r>
            </m:sub>
            <m:sup/>
          </m:nary>
          <m:r>
            <m:rPr>
              <m:sty m:val="p"/>
              <m:scr m:val="double-struck"/>
            </m:rPr>
            <m:t>I</m:t>
          </m:r>
          <m:r>
            <m:rPr/>
            <m:t>.</m:t>
          </m:r>
        </m:oMath>
      </m:oMathPara>
    </w:p>
    <w:p>
      <w:r>
        <w:t xml:space="preserve">Whereas the following one includes a pmatrix from amsmath:</w:t>
      </w:r>
    </w:p>
    <w:p>
      <m:oMathPara>
        <m:oMathParaPr>
          <m:jc m:val="center"/>
        </m:oMathParaPr>
        <m:oMath>
          <m:sSub>
            <m:e>
              <m:r>
                <m:rPr/>
                <m:t>e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</m:mr>
              </m:m>
            </m:e>
          </m:d>
          <m:r>
            <m:rPr/>
            <m:t>.</m:t>
          </m:r>
        </m:oMath>
      </m:oMathPara>
    </w:p>
    <w:p>
      <w:r>
        <w:t xml:space="preserve">The same column vector is expressed as an array in math mode:</w:t>
      </w:r>
    </w:p>
    <w:p>
      <m:oMathPara>
        <m:oMathParaPr>
          <m:jc m:val="center"/>
        </m:oMathParaPr>
        <m:oMath>
          <m:sSub>
            <m:e>
              <m:r>
                <m:rPr/>
                <m:t>e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</m:mr>
              </m:m>
            </m:e>
          </m:d>
          <m:r>
            <m:rPr/>
            <m:t>.</m:t>
          </m:r>
        </m:oMath>
      </m:oMathPara>
    </w:p>
    <w:p>
      <w:r>
        <w:t xml:space="preserve">This is a cross reference to the next section: Section [figures]</w:t>
      </w:r>
    </w:p>
    <w:p>
      <w:r>
        <w:t xml:space="preserve">This is a citation without parenthesis:</w:t>
      </w:r>
      <w:r>
        <w:t xml:space="preserve"> </w:t>
      </w:r>
      <w:r>
        <w:t xml:space="preserve">Dummy and Foo (2013)</w:t>
      </w:r>
      <w:r>
        <w:t xml:space="preserve">. The citation after this sentence should have parenthesis if natbib works correctly </w:t>
      </w:r>
      <w:r>
        <w:t xml:space="preserve">(Dummy and Foo 2013)</w:t>
      </w:r>
    </w:p>
    <w:bookmarkStart w:id="22" w:name="figures"/>
    <w:p>
      <w:pPr>
        <w:pStyle w:val="Heading1"/>
      </w:pPr>
      <w:r>
        <w:t xml:space="preserve">Figures and tables</w:t>
      </w:r>
    </w:p>
    <w:bookmarkEnd w:id="22"/>
    <w:p>
      <w:r>
        <w:drawing>
          <wp:inline>
            <wp:extent cx="1524000" cy="1524000"/>
            <wp:effectExtent b="0" l="0" r="0" t="0"/>
            <wp:docPr descr="fig:" id="1" name="Picture"/>
            <a:graphic>
              <a:graphicData uri="http://schemas.openxmlformats.org/drawingml/2006/picture">
                <pic:pic>
                  <pic:nvPicPr>
                    <pic:cNvPr descr="figures/arrow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[arrowpdf]</w:t>
      </w:r>
    </w:p>
    <w:p>
      <w:r>
        <w:drawing>
          <wp:inline>
            <wp:extent cx="3302000" cy="2717800"/>
            <wp:effectExtent b="0" l="0" r="0" t="0"/>
            <wp:docPr descr="fig:" id="1" name="Picture"/>
            <a:graphic>
              <a:graphicData uri="http://schemas.openxmlformats.org/drawingml/2006/picture">
                <pic:pic>
                  <pic:nvPicPr>
                    <pic:cNvPr descr="figures/arr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[arrowpng]</w:t>
      </w:r>
    </w:p>
    <w:p>
      <w:r>
        <w:t xml:space="preserve">[combined]</w:t>
      </w:r>
    </w:p>
    <w:p>
      <w:r>
        <w:t xml:space="preserve">Figure [arrowpdf] includes an arrow in PDF format. Figure [arrowpng] includes the same image bitmapped in PNG format. Figure [combined] combined the two images in a subfigure environment.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rPr/>
                    <m:t>x</m:t>
                  </m:r>
                </m:e>
                <m:sup>
                  <m:r>
                    <m:rPr/>
                    <m:t>2</m:t>
                  </m:r>
                </m:sup>
              </m:sSup>
            </m:oMath>
          </w:p>
        </w:tc>
      </w:tr>
    </w:tbl>
    <w:p>
      <w:r>
        <w:t xml:space="preserve">[simple]</w:t>
      </w:r>
    </w:p>
    <w:p>
      <w:r>
        <w:t xml:space="preserve">|c|c|c|</w:t>
      </w:r>
      <w:r>
        <w:t xml:space="preserve"> </w:t>
      </w:r>
      <w:r>
        <w:t xml:space="preserve">&amp;</w:t>
      </w:r>
      <w:r>
        <w:br w:type="textWrapping"/>
      </w:r>
      <w:r>
        <w:t xml:space="preserve"> </w:t>
      </w:r>
      <w:r>
        <w:t xml:space="preserve">&amp;I&amp;II</w:t>
      </w:r>
      <w:r>
        <w:br w:type="textWrapping"/>
      </w:r>
      <w:r>
        <w:t xml:space="preserve">1&amp;2&amp;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br w:type="textWrapping"/>
      </w:r>
    </w:p>
    <w:p>
      <w:r>
        <w:t xml:space="preserve">[complicated]</w:t>
      </w:r>
    </w:p>
    <w:p>
      <w:r>
        <w:t xml:space="preserve">Table [simple] is a simple table without requiring special packages. Table [complicated] is more complicated: it includes multiple rows and multiple columns.</w:t>
      </w:r>
    </w:p>
    <w:p>
      <w:r>
        <w:t xml:space="preserve">Dummy, Jack, and John Foo. 2013. “The Least Important Paper Ever Written.” In</w:t>
      </w:r>
      <w:r>
        <w:t xml:space="preserve"> </w:t>
      </w:r>
      <w:r>
        <w:rPr>
          <w:i/>
        </w:rPr>
        <w:t xml:space="preserve">Proceedings of IRR-10, 24th International Conference on Irrelevance.</w:t>
      </w:r>
      <w:r>
        <w:t xml:space="preserve">, 45–50. Undefined Place, Unknown Country.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2a3c0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df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for Converters from LaTeX to Word Processor Format</dc:title>
  <dcterms:created xsi:type="dcterms:W3CDTF"/>
  <dcterms:modified xsi:type="dcterms:W3CDTF"/>
</cp:coreProperties>
</file>