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 Id="rIdOrgSmith" Type="http://schemas.openxmlformats.org/officeDocument/2006/relationships/custom-properties" Target="docProps/custom.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Status Report: Service Line Assessment for Johnson, Cross and Gibbs</w:t>
      </w:r>
    </w:p>
    <w:p>
      <w:r>
        <w:t>Prepared by Daniel Alvarado, Senior Consultant, for Johnson, Cross and Gibbs. This report covers the period since our last update and is confidential to you and your leadership team.</w:t>
      </w:r>
    </w:p>
    <w:p>
      <w:pPr>
        <w:pStyle w:val="Heading2"/>
      </w:pPr>
      <w:r>
        <w:t>Where things stand</w:t>
      </w:r>
    </w:p>
    <w:p>
      <w:r>
        <w:t>The assessment is at its midpoint and on schedule. We have finished the cost reconstruction for the major service lines, the revenue-cycle trace is producing numbers we can use, and the physician-compensation questions are scoped and ready for the careful part. The picture is coming into focus, and it is more nuanced than a single profitable-or-not verdict.</w:t>
      </w:r>
    </w:p>
    <w:p>
      <w:r>
        <w:t>The short of it is that a small number of lines are carrying the rest, but the reasons differ from line to line. Some of what looks weak is a genuine cost problem. Some of it is revenue you have earned and then lost downstream. Telling those two causes apart is most of the work between now and delivery.</w:t>
      </w:r>
    </w:p>
    <w:p>
      <w:pPr>
        <w:pStyle w:val="Heading2"/>
      </w:pPr>
      <w:r>
        <w:t>What we finished this period</w:t>
      </w:r>
    </w:p>
    <w:p>
      <w:r>
        <w:t>We completed the reconstructed cost per case for every major line and set it against actual net revenue rather than charges. Two lines the organization had treated as healthy look thinner once their full costs are loaded in, and at least one line that looked marginal is in fact carrying overhead that belongs elsewhere. I want to label that plainly as a preliminary read. It is a finding the completed numbers will either confirm or correct, and I will not present it as settled before then.</w:t>
      </w:r>
    </w:p>
    <w:p>
      <w:r>
        <w:t>Patricia Moore has traced a sample of denied claims on the surgical lines through every handoff in the billing process. The denials cluster at a few points that can be fixed without touching clinical operations. That matters, because some of what reads as weak line economics is really revenue you have already earned and then lost after the fact. We can now separate those two causes with evidence rather than assertion, which is a large part of the value here.</w:t>
      </w:r>
    </w:p>
    <w:p>
      <w:r>
        <w:t>Susan Clark has scoped the physician-compensation work and framed it the way your general counsel will expect to see it. Where a line's economics depend on how physician effort is paid, the question is whether the arrangement would survive a fair-market-value review. We will reach for that language only where the analysis earns it, and nowhere else.</w:t>
      </w:r>
    </w:p>
    <w:p>
      <w:r>
        <w:t>We also made real headway on the data itself, which is worth reporting because it is where an assessment like this quietly succeeds or stalls. A meaningful share of your contracting paperwork reached us as scanned images rather than files, with no text a system can read, and our team has re-keyed the detail we need from those documents by hand. The result is that the smaller lines now rest on the same quality of figures as the large ones, so no line in the analysis is a guess.</w:t>
      </w:r>
    </w:p>
    <w:p>
      <w:pPr>
        <w:pStyle w:val="Heading2"/>
      </w:pPr>
      <w:r>
        <w:t>What comes next</w:t>
      </w:r>
    </w:p>
    <w:p>
      <w:r>
        <w:t>Over the next period we finish the cost reconstruction for the remaining smaller lines and reconcile the revenue-cycle results against the service-line picture. We then move from what each line costs to why it costs that, which is the part that turns a scorecard into something you can act on. Susan Clark begins the compensation review in earnest once the line economics are final, because the two questions are linked and answering them out of order would produce a conclusion neither of us should trust.</w:t>
      </w:r>
    </w:p>
    <w:p>
      <w:r>
        <w:t>We are also planning the handoff. When the findings are firm, Susan Clark and I would rather walk your leadership through them in person than send a report cold, so that any line you want to push on is discussed with the numbers in the room. We will propose a time for that session in the next update, and we will keep it tight and specific to the decisions in front of you.</w:t>
      </w:r>
    </w:p>
    <w:p>
      <w:pPr>
        <w:pStyle w:val="Heading2"/>
      </w:pPr>
      <w:r>
        <w:t>Risks and where we need you</w:t>
      </w:r>
    </w:p>
    <w:p>
      <w:r>
        <w:t>Two things could slow us, and neither is alarming. The first is data completeness. A share of the contracting paperwork reaches us as scans rather than files, and where the underlying detail is not machine-readable we are re-keying it by hand, which takes longer. The second is time with your finance staff for the reconciliation questions, and a few standing hours with them over the coming month would remove that risk entirely.</w:t>
      </w:r>
    </w:p>
    <w:p>
      <w:r>
        <w:t>On budget, the work remains within the fixed fee of $53,000, and nothing we currently see suggests that will change. If the scanned-document re-keying grows beyond what we have absorbed so far, I will raise it with you before it touches either the timeline or the fee, not after.</w:t>
      </w:r>
    </w:p>
    <w:p>
      <w:r>
        <w:t>We are pleased with where the assessment sits at the halfway mark. The next report will bring you the first firm findings, line by line.</w:t>
      </w:r>
    </w:p>
    <w:sectPr w:rsidR="00FC693F" w:rsidRPr="0006063C" w:rsidSect="00034616">
      <w:headerReference w:type="first" r:id="rId9"/>
      <w:headerReference w:type="default" r:id="rId10"/>
      <w:footerReference w:type="default" r:id="rId11"/>
      <w:footerReference w:type="first" r:id="rId12"/>
      <w:pgSz w:w="12240" w:h="15840"/>
      <w:pgMar w:top="1440" w:right="1800" w:bottom="1440" w:left="1800" w:header="720" w:footer="720"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8"/>
      </w:rPr>
      <w:t xml:space="preserve">Page </w:t>
    </w:r>
    <w:fldSimple w:instr=" PAGE ">
      <w:r>
        <w:t>1</w:t>
      </w:r>
    </w:fldSimple>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8"/>
      </w:rPr>
      <w:t xml:space="preserve">Page </w:t>
    </w:r>
    <w:fldSimple w:instr=" PAGE ">
      <w:r>
        <w:t>1</w:t>
      </w:r>
    </w:fldSimpl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Pr>
    <w:r>
      <w:rPr>
        <w:b/>
        <w:color w:val="1E4D2B"/>
        <w:sz w:val="28"/>
      </w:rPr>
      <w:t>Verdant Health Advisory LLC</w:t>
    </w:r>
  </w:p>
  <w:p>
    <w:r>
      <w:rPr>
        <w:sz w:val="18"/>
      </w:rPr>
      <w:t>www.verdanthealthadvisory.com</w:t>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sz w:val="18"/>
      </w:rPr>
      <w:t>Verdant Health Advisory LLC</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mbria" w:hAnsi="Cambria"/>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header" Target="header2.xml"/><Relationship Id="rId11" Type="http://schemas.openxmlformats.org/officeDocument/2006/relationships/footer" Target="footer1.xml"/><Relationship Id="rId12"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Status Report: Service Line Assessment for Johnson, Cross and Gibbs</dc:title>
  <dc:subject/>
  <dc:creator>Daniel Alvarado</dc:creator>
  <cp:keywords/>
  <dc:description>generated by python-docx</dc:description>
  <cp:lastModifiedBy>Daniel Alvarado</cp:lastModifiedBy>
  <cp:revision>1</cp:revision>
  <dcterms:created xsi:type="dcterms:W3CDTF">2020-11-13T09:00:00Z</dcterms:created>
  <dcterms:modified xsi:type="dcterms:W3CDTF">2020-11-13T09:00:00Z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OrgSmithSynthetic">
    <vt:lpwstr>true</vt:lpwstr>
  </property>
</Properties>
</file>