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Physician Compensation Review</w:t>
      </w:r>
    </w:p>
    <w:p>
      <w:r>
        <w:t>Prepared for the leadership of Johnson, Cross and Gibbs by Patricia Moore, of Verdant Health Advisory. This report covers the engagement through the current period, at roughly its midpoint, and is meant to give you the same picture of the work that we have.</w:t>
      </w:r>
    </w:p>
    <w:p>
      <w:pPr>
        <w:pStyle w:val="Heading2"/>
      </w:pPr>
      <w:r>
        <w:t>Where the review stands</w:t>
      </w:r>
    </w:p>
    <w:p>
      <w:r>
        <w:t>The review is on plan and on budget, and the short version is that the data is now largely in hand and sound enough that we are moving from collecting it to placing it against the benchmarks. The arrangements under review have been inventoried and, with two exceptions the client is resolving, traced to their source documents, which is the footing everything after this rests on. Nothing we have seen so far has changed our sense of the timeline or the shape of the work, and where a judgment is coming, this report is where you will first see it forming. We have kept to the practice we described at the outset, which is to lead with what the evidence shows and to hold anything the evidence does not yet support, and you will find that discipline reflected in the care of the paragraphs below.</w:t>
      </w:r>
    </w:p>
    <w:p>
      <w:pPr>
        <w:pStyle w:val="Heading2"/>
      </w:pPr>
      <w:r>
        <w:t>What we completed this period</w:t>
      </w:r>
    </w:p>
    <w:p>
      <w:r>
        <w:t>The bulk of this period went into building and sourcing the inventory of physician compensation arrangements, which is less visible than the analysis to come but is the part that decides whether the analysis can be trusted at all. I assembled the arrangements as they actually operate and traced each figure back to the plan documents and pay records behind it, so that every number carried forward can be shown rather than asserted. A share of the executed agreements reached us as scanned images with no searchable text layer, so I keyed those figures in by hand and checked each against a second reading before it entered the inventory, which is slower than pulling them straight through but is the only way to be sure the numbers we carry are the ones the parties actually signed. Daniel Alvarado settled the national survey benchmarks each arrangement will be measured against, matched to specialty, productivity, and market, and he made that selection before any comparison was drawn, which is the discipline that keeps a fair-market-value review honest. Two productivity-based components remain open while the client routes the underlying figures, but neither holds up the review as a whole, and both are expected shortly.</w:t>
      </w:r>
    </w:p>
    <w:p>
      <w:pPr>
        <w:pStyle w:val="Heading2"/>
      </w:pPr>
      <w:r>
        <w:t>The work ahead</w:t>
      </w:r>
    </w:p>
    <w:p>
      <w:r>
        <w:t>The next phase turns from assembling the data to interpreting it, and it is the heavier half of the engagement. We will place each arrangement against its chosen benchmark, identify where the compensation sits within or outside the range a fair-market-value analysis would support, and look carefully at commercial reasonableness on terms apart from the volume or value of any referrals. Where the written plan and the arrangement as operated have drifted apart, we will document the divergence and treat the arrangement as it actually functions, because that is what a reviewer after the fact would do. As findings take shape we will bring them to you as findings, with the recommendations that follow labeled plainly as recommendations, so that there is never any doubt about which is which.</w:t>
      </w:r>
    </w:p>
    <w:p>
      <w:pPr>
        <w:pStyle w:val="Heading2"/>
      </w:pPr>
      <w:r>
        <w:t>Budget</w:t>
      </w:r>
    </w:p>
    <w:p>
      <w:r>
        <w:t>Against the engagement fee of $114,500, we are roughly half spent at the midpoint, which tracks the plan closely. The fixed fee keeps our attention on getting the analysis right rather than on the clock, and we do not anticipate coming back for more; the remaining budget covers the analytical phase, which is the heavier half by effort even though not by fee. There have been no out-of-pocket costs of note this period, and any that arise will continue to be approved in advance and itemized, so that this line never surprises you.</w:t>
      </w:r>
    </w:p>
    <w:p>
      <w:pPr>
        <w:pStyle w:val="Heading2"/>
      </w:pPr>
      <w:r>
        <w:t>Risks and things we are watching</w:t>
      </w:r>
    </w:p>
    <w:p>
      <w:r>
        <w:t>Two items are worth your attention, and neither of them is a problem today. The first is the two open productivity components: until Johnson, Cross and Gibbs routes the underlying figures, those arrangements cannot be placed against their benchmarks, and a delay there would compress the analytical phase rather than move the review's end. The second is the gap we have already seen between one written plan and the arrangement as it operates; it is exactly the kind of thing a compensation review exists to surface, and we will treat it with care and document it fully rather than characterize it before the analysis is complete.</w:t>
      </w:r>
    </w:p>
    <w:p>
      <w:r>
        <w:t>The one thing that would help most from your side is to close out the two open productivity figures this coming week, since the analytical phase cannot begin in earnest on those arrangements until they are in hand. Daniel Alvarado and I will keep the sourced inventory current in the meantime, and we will bring you the first placement of arrangements against their benchmarks at the next review.</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Physician Compensation Review for Johnson, Cross and Gibbs</dc:title>
  <dc:subject/>
  <dc:creator>Patricia Moore</dc:creator>
  <cp:keywords/>
  <dc:description>generated by python-docx</dc:description>
  <cp:lastModifiedBy>Patricia Moore</cp:lastModifiedBy>
  <cp:revision>1</cp:revision>
  <dcterms:created xsi:type="dcterms:W3CDTF">2021-07-27T09:00:00Z</dcterms:created>
  <dcterms:modified xsi:type="dcterms:W3CDTF">2021-07-27T09:00:00Z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