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Service Line Assessment for Johnson, Cross and Gibbs</w:t>
      </w:r>
    </w:p>
    <w:p>
      <w:r>
        <w:t>Mid-engagement working session to review progress on the service-line assessment for Johnson, Cross and Gibbs with the client's general manager, held at the client's offices. The purpose was to walk the client through the interim cost picture, agree what remains to be pulled, and set the compensation work in the frame the client's counsel will expect. Minutes recorded by Susan Clark.</w:t>
      </w:r>
    </w:p>
    <w:p>
      <w:pPr>
        <w:pStyle w:val="Heading2"/>
      </w:pPr>
      <w:r>
        <w:t>Attendees</w:t>
      </w:r>
    </w:p>
    <w:p>
      <w:pPr>
        <w:pStyle w:val="ListBullet"/>
      </w:pPr>
      <w:r>
        <w:t>Susan Clark, Principal (chair)</w:t>
      </w:r>
    </w:p>
    <w:p>
      <w:pPr>
        <w:pStyle w:val="ListBullet"/>
      </w:pPr>
      <w:r>
        <w:t>Daniel Alvarado, Senior Consultant</w:t>
      </w:r>
    </w:p>
    <w:p>
      <w:pPr>
        <w:pStyle w:val="ListBullet"/>
      </w:pPr>
      <w:r>
        <w:t>Patricia Moore, Analyst</w:t>
      </w:r>
    </w:p>
    <w:p>
      <w:pPr>
        <w:pStyle w:val="ListBullet"/>
      </w:pPr>
      <w:r>
        <w:t>Angela Mahoney, General Manager, Johnson, Cross and Gibbs</w:t>
      </w:r>
    </w:p>
    <w:p>
      <w:pPr>
        <w:pStyle w:val="Heading2"/>
      </w:pPr>
      <w:r>
        <w:t>Discussion</w:t>
      </w:r>
    </w:p>
    <w:p>
      <w:r>
        <w:t>The service-line cost work is far enough along to show a shape, and the shape is that a small number of lines are carrying the rest of them. Daniel Alvarado walked the group through the reconstructed cost per case for the lines we have finished, set against actual net revenue rather than charges, and two of the larger lines the client had assumed were healthy look thinner once their full costs are loaded in. We were careful to note for the record that these are interim numbers on a partial data pull, and that no line should be labelled a loser until its costs are complete.</w:t>
      </w:r>
    </w:p>
    <w:p>
      <w:r>
        <w:t>Patricia Moore reported that part of what reads as poor line economics is in fact revenue the client has already earned and then lost in the billing process. She has traced a sample of denied claims on the surgical lines through each handoff, and the denials cluster at a small number of points that could be fixed without touching clinical operations. Angela Mahoney asked whether the leakage could account for the whole of the gap on those lines, and the honest answer given was that it accounts for part of it, and that we will size how much of it before we say anything firmer.</w:t>
      </w:r>
    </w:p>
    <w:p>
      <w:r>
        <w:t>On physician compensation the group agreed to move carefully. Susan Clark set out that where a line's economics depend on how physician effort is paid, the question is whether the arrangement would survive a fair-market-value review, and that we will use that phrase only where the analysis actually reaches it rather than as a loose description. Angela Mahoney confirmed that the client's general counsel will want any compensation finding presented in that frame, which is the frame we had intended to use.</w:t>
      </w:r>
    </w:p>
    <w:p>
      <w:r>
        <w:t>On logistics, the group noted that a share of the client's contracting paperwork arrives as scanned images with no text layer, which slows the pull because the underlying detail has to be re-keyed by hand rather than read straight from a file. Angela Mahoney agreed to have the client send the remaining executed statements of work and consents, and to flag which of them exist only as scans so that our team can plan the re-keying around them. The group fixed the next working session for roughly a month out, by which point the cost reconstruction should be complete and the leakage on the surgical lines sized, and both sides agreed to keep the interim numbers inside this room until then.</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Due</w:t>
            </w:r>
          </w:p>
        </w:tc>
      </w:tr>
      <w:tr>
        <w:tc>
          <w:tcPr>
            <w:tcW w:type="dxa" w:w="2880"/>
          </w:tcPr>
          <w:p>
            <w:r>
              <w:t>Finish the cost reconstruction for the two remaining service lines</w:t>
            </w:r>
          </w:p>
        </w:tc>
        <w:tc>
          <w:tcPr>
            <w:tcW w:type="dxa" w:w="2880"/>
          </w:tcPr>
          <w:p>
            <w:r>
              <w:t>Daniel Alvarado</w:t>
            </w:r>
          </w:p>
        </w:tc>
        <w:tc>
          <w:tcPr>
            <w:tcW w:type="dxa" w:w="2880"/>
          </w:tcPr>
          <w:p>
            <w:r>
              <w:t>By next session</w:t>
            </w:r>
          </w:p>
        </w:tc>
      </w:tr>
      <w:tr>
        <w:tc>
          <w:tcPr>
            <w:tcW w:type="dxa" w:w="2880"/>
          </w:tcPr>
          <w:p>
            <w:r>
              <w:t>Size the denied-claim leakage on the surgical lines against the cost gap</w:t>
            </w:r>
          </w:p>
        </w:tc>
        <w:tc>
          <w:tcPr>
            <w:tcW w:type="dxa" w:w="2880"/>
          </w:tcPr>
          <w:p>
            <w:r>
              <w:t>Patricia Moore</w:t>
            </w:r>
          </w:p>
        </w:tc>
        <w:tc>
          <w:tcPr>
            <w:tcW w:type="dxa" w:w="2880"/>
          </w:tcPr>
          <w:p>
            <w:r>
              <w:t>Two weeks</w:t>
            </w:r>
          </w:p>
        </w:tc>
      </w:tr>
      <w:tr>
        <w:tc>
          <w:tcPr>
            <w:tcW w:type="dxa" w:w="2880"/>
          </w:tcPr>
          <w:p>
            <w:r>
              <w:t>Scope the physician-compensation questions that warrant a fair-market-value review</w:t>
            </w:r>
          </w:p>
        </w:tc>
        <w:tc>
          <w:tcPr>
            <w:tcW w:type="dxa" w:w="2880"/>
          </w:tcPr>
          <w:p>
            <w:r>
              <w:t>Susan Clark</w:t>
            </w:r>
          </w:p>
        </w:tc>
        <w:tc>
          <w:tcPr>
            <w:tcW w:type="dxa" w:w="2880"/>
          </w:tcPr>
          <w:p>
            <w:r>
              <w:t>Two weeks</w:t>
            </w:r>
          </w:p>
        </w:tc>
      </w:tr>
      <w:tr>
        <w:tc>
          <w:tcPr>
            <w:tcW w:type="dxa" w:w="2880"/>
          </w:tcPr>
          <w:p>
            <w:r>
              <w:t>Provide the remaining contracting files, including the scanned consents</w:t>
            </w:r>
          </w:p>
        </w:tc>
        <w:tc>
          <w:tcPr>
            <w:tcW w:type="dxa" w:w="2880"/>
          </w:tcPr>
          <w:p>
            <w:r>
              <w:t>Angela Mahoney</w:t>
            </w:r>
          </w:p>
        </w:tc>
        <w:tc>
          <w:tcPr>
            <w:tcW w:type="dxa" w:w="2880"/>
          </w:tcPr>
          <w:p>
            <w:r>
              <w:t>By next session</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Service Line Assessment for Johnson, Cross and Gibbs</dc:title>
  <dc:subject/>
  <dc:creator>Susan Clark</dc:creator>
  <cp:keywords/>
  <dc:description>generated by python-docx</dc:description>
  <cp:lastModifiedBy>Susan Clark</cp:lastModifiedBy>
  <cp:revision>1</cp:revision>
  <dcterms:created xsi:type="dcterms:W3CDTF">2020-10-23T09:00:00Z</dcterms:created>
  <dcterms:modified xsi:type="dcterms:W3CDTF">2020-10-23T09:00:00Z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