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Service Line Assessment for Johnson, Cross and Gibbs</w:t>
      </w:r>
    </w:p>
    <w:p>
      <w:r>
        <w:t>Working session to review the draft report for the service-line assessment for Johnson, Cross and Gibbs ahead of client review, held at the client's offices in the later stage of the engagement. The purpose was to confirm the findings are final, agree how the recommendations are set apart from them, and settle what remains before the report goes to the client and its counsel. Minutes recorded by Susan Clark.</w:t>
      </w:r>
    </w:p>
    <w:p>
      <w:pPr>
        <w:pStyle w:val="Heading2"/>
      </w:pPr>
      <w:r>
        <w:t>In attendance</w:t>
      </w:r>
    </w:p>
    <w:p>
      <w:pPr>
        <w:pStyle w:val="ListBullet"/>
      </w:pPr>
      <w:r>
        <w:t>Susan Clark, Principal (chair)</w:t>
      </w:r>
    </w:p>
    <w:p>
      <w:pPr>
        <w:pStyle w:val="ListBullet"/>
      </w:pPr>
      <w:r>
        <w:t>Daniel Alvarado, Senior Consultant</w:t>
      </w:r>
    </w:p>
    <w:p>
      <w:pPr>
        <w:pStyle w:val="ListBullet"/>
      </w:pPr>
      <w:r>
        <w:t>Patricia Moore, Analyst</w:t>
      </w:r>
    </w:p>
    <w:p>
      <w:pPr>
        <w:pStyle w:val="ListBullet"/>
      </w:pPr>
      <w:r>
        <w:t>Angela Mahoney, General Manager, Johnson, Cross and Gibbs</w:t>
      </w:r>
    </w:p>
    <w:p>
      <w:pPr>
        <w:pStyle w:val="Heading2"/>
      </w:pPr>
      <w:r>
        <w:t>Notes from the session</w:t>
      </w:r>
    </w:p>
    <w:p>
      <w:r>
        <w:t>The service-line findings are now firm, and they hold the shape the interim numbers had suggested. Daniel Alvarado presented the completed cost per case against net revenue for every line, and the group agreed the results are ready to go into the draft report without further reconstruction. Two lines the client had treated as healthy are in fact subsidized by the others, and the draft says so plainly, with the cost detail set out behind it. The group reviewed each line in turn and found no reconstruction still open, which means the numbers in the draft are the numbers the client will see.</w:t>
      </w:r>
    </w:p>
    <w:p>
      <w:r>
        <w:t>Patricia Moore closed out the revenue-cycle work by quantifying the leakage on the surgical lines and separating it from the genuine cost problem. The recommendations are specific and operational, and they name the handoffs where denials originate rather than the departments, which keeps the report useful to the people who will actually fix it. Angela Mahoney asked that the recommendations be labelled as recommendations and kept apart from the findings, and Susan Clark confirmed the draft is already written that way.</w:t>
      </w:r>
    </w:p>
    <w:p>
      <w:r>
        <w:t>On physician compensation, Susan Clark reported that the review is complete and that one arrangement warrants a closer fair-market-value look, stated in exactly those terms and no stronger. The group agreed the report will present that as a flag for the client's counsel to pursue rather than as a conclusion the assessment is entitled to draw on its own. Angela Mahoney confirmed the client's general counsel will take it from there.</w:t>
      </w:r>
    </w:p>
    <w:p>
      <w:r>
        <w:t>On the shape of the report itself, the group agreed the findings lead and the recommendations follow, each labelled as such, with the cost detail carried in an appendix so a reader can trace any line back to its numbers. Daniel Alvarado noted that a few of the smaller lines rest partly on contracting terms that reached us only as scans, and that the report will say plainly where a number depends on re-keyed detail rather than a clean data feed. The group agreed to flag that provenance in the report so the client knows exactly what each number rests on.</w:t>
      </w:r>
    </w:p>
    <w:p>
      <w:r>
        <w:t>The group also settled how the findings will be presented. Susan Clark and Daniel Alvarado will walk the client's leadership through the draft in person once comments are back, rather than send it cold, so that any line the client disputes is argued in the room where the numbers are to hand. Angela Mahoney will assemble the client-side reviewers, including someone from the revenue-cycle side who can confirm the leakage points are real, and will return a single consolidated set of comments rather than several.</w:t>
      </w:r>
    </w:p>
    <w:p>
      <w:pPr>
        <w:pStyle w:val="Heading2"/>
      </w:pPr>
      <w:r>
        <w:t>Follow-ups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Circulate the full draft report for client review</w:t>
            </w:r>
          </w:p>
        </w:tc>
        <w:tc>
          <w:tcPr>
            <w:tcW w:type="dxa" w:w="2880"/>
          </w:tcPr>
          <w:p>
            <w:r>
              <w:t>Daniel Alvarado</w:t>
            </w:r>
          </w:p>
        </w:tc>
        <w:tc>
          <w:tcPr>
            <w:tcW w:type="dxa" w:w="2880"/>
          </w:tcPr>
          <w:p>
            <w:r>
              <w:t>This week</w:t>
            </w:r>
          </w:p>
        </w:tc>
      </w:tr>
      <w:tr>
        <w:tc>
          <w:tcPr>
            <w:tcW w:type="dxa" w:w="2880"/>
          </w:tcPr>
          <w:p>
            <w:r>
              <w:t>Finalize the revenue-cycle recommendations section</w:t>
            </w:r>
          </w:p>
        </w:tc>
        <w:tc>
          <w:tcPr>
            <w:tcW w:type="dxa" w:w="2880"/>
          </w:tcPr>
          <w:p>
            <w:r>
              <w:t>Patricia Moore</w:t>
            </w:r>
          </w:p>
        </w:tc>
        <w:tc>
          <w:tcPr>
            <w:tcW w:type="dxa" w:w="2880"/>
          </w:tcPr>
          <w:p>
            <w:r>
              <w:t>This week</w:t>
            </w:r>
          </w:p>
        </w:tc>
      </w:tr>
      <w:tr>
        <w:tc>
          <w:tcPr>
            <w:tcW w:type="dxa" w:w="2880"/>
          </w:tcPr>
          <w:p>
            <w:r>
              <w:t>Complete the fair-market-value flag write-up for the client's counsel</w:t>
            </w:r>
          </w:p>
        </w:tc>
        <w:tc>
          <w:tcPr>
            <w:tcW w:type="dxa" w:w="2880"/>
          </w:tcPr>
          <w:p>
            <w:r>
              <w:t>Susan Clark</w:t>
            </w:r>
          </w:p>
        </w:tc>
        <w:tc>
          <w:tcPr>
            <w:tcW w:type="dxa" w:w="2880"/>
          </w:tcPr>
          <w:p>
            <w:r>
              <w:t>Next session</w:t>
            </w:r>
          </w:p>
        </w:tc>
      </w:tr>
      <w:tr>
        <w:tc>
          <w:tcPr>
            <w:tcW w:type="dxa" w:w="2880"/>
          </w:tcPr>
          <w:p>
            <w:r>
              <w:t>Return client review comments and confirm the final presentation date</w:t>
            </w:r>
          </w:p>
        </w:tc>
        <w:tc>
          <w:tcPr>
            <w:tcW w:type="dxa" w:w="2880"/>
          </w:tcPr>
          <w:p>
            <w:r>
              <w:t>Angela Mahoney</w:t>
            </w:r>
          </w:p>
        </w:tc>
        <w:tc>
          <w:tcPr>
            <w:tcW w:type="dxa" w:w="2880"/>
          </w:tcPr>
          <w:p>
            <w:r>
              <w:t>Next session</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Service Line Assessment for Johnson, Cross and Gibbs</dc:title>
  <dc:subject/>
  <dc:creator>Susan Clark</dc:creator>
  <cp:keywords/>
  <dc:description>generated by python-docx</dc:description>
  <cp:lastModifiedBy>Susan Clark</cp:lastModifiedBy>
  <cp:revision>1</cp:revision>
  <dcterms:created xsi:type="dcterms:W3CDTF">2021-01-21T09:00:00Z</dcterms:created>
  <dcterms:modified xsi:type="dcterms:W3CDTF">2021-01-21T09:00:00Z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