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Meeting Minutes: Physician Compensation Review for Johnson, Cross and Gibbs</w:t>
      </w:r>
    </w:p>
    <w:p>
      <w:pPr>
        <w:pStyle w:val="Heading2"/>
      </w:pPr>
      <w:r>
        <w:t>Attendees</w:t>
      </w:r>
    </w:p>
    <w:p>
      <w:pPr>
        <w:pStyle w:val="ListBullet"/>
      </w:pPr>
      <w:r>
        <w:t>Daniel Alvarado, Senior Consultant, Verdant Health Advisory</w:t>
      </w:r>
    </w:p>
    <w:p>
      <w:pPr>
        <w:pStyle w:val="ListBullet"/>
      </w:pPr>
      <w:r>
        <w:t>Patricia Moore, Analyst, Verdant Health Advisory</w:t>
      </w:r>
    </w:p>
    <w:p>
      <w:pPr>
        <w:pStyle w:val="ListBullet"/>
      </w:pPr>
      <w:r>
        <w:t>Laura Phillips, Chief Financial Officer, Johnson, Cross and Gibbs</w:t>
      </w:r>
    </w:p>
    <w:p>
      <w:pPr>
        <w:pStyle w:val="Heading2"/>
      </w:pPr>
      <w:r>
        <w:t>Purpose</w:t>
      </w:r>
    </w:p>
    <w:p>
      <w:r>
        <w:t>The session was a working review of the compensation data assembled to date. The object was to confirm what is sourced, mark what is still open, and agree the benchmark set before any arrangement is placed against it. No conclusions on fair market value were reached or sought at this stage.</w:t>
      </w:r>
    </w:p>
    <w:p>
      <w:pPr>
        <w:pStyle w:val="Heading2"/>
      </w:pPr>
      <w:r>
        <w:t>Discussion</w:t>
      </w:r>
    </w:p>
    <w:p>
      <w:r>
        <w:t>The team confirmed the scope of the review. It covers the physician compensation arrangements now in effect, tested for consistency with fair market value and for commercial reasonableness. It does not extend to a legal opinion, which stays with the client's counsel.</w:t>
      </w:r>
    </w:p>
    <w:p>
      <w:r>
        <w:t>Patricia Moore walked the group through the inventory of arrangements collected so far. Most of the base compensation terms are sourced and traced to the underlying plan documents. Two productivity-based components remain open, pending figures the client will supply.</w:t>
      </w:r>
    </w:p>
    <w:p>
      <w:r>
        <w:t>Daniel Alvarado reviewed the proposed benchmark sources. The group agreed that the benchmark for each specialty must be chosen before the comparison is drawn, not after, so the choice cannot be read as fitted to a result. Laura Phillips confirmed that Johnson, Cross and Gibbs will route the two missing productivity figures by the end of the week.</w:t>
      </w:r>
    </w:p>
    <w:p>
      <w:r>
        <w:t>Daniel Alvarado described how the benchmarks will be applied. Each arrangement is matched to a benchmark by specialty, by productivity band, and by market. Where a physician's role spans more than one specialty, the blend used will be documented before any figure is drawn.</w:t>
      </w:r>
    </w:p>
    <w:p>
      <w:r>
        <w:t>Patricia Moore reported on data quality. A number of the executed compensation agreements were provided as scanned images with no searchable text layer. Those figures are being keyed by hand and checked against a second reading before they enter the inventory.</w:t>
      </w:r>
    </w:p>
    <w:p>
      <w:r>
        <w:t>The group set the standard for treating a component as confirmed. A figure is confirmed only when it is traced to a source document. Until then it is held as open and kept out of any comparison.</w:t>
      </w:r>
    </w:p>
    <w:p>
      <w:r>
        <w:t>The group discussed the difference between the written plans and the arrangements as they actually operate. Patricia Moore noted one arrangement where the two diverge. It was agreed that the review follows the arrangement as operated, and that the divergence itself is recorded as a finding.</w:t>
      </w:r>
    </w:p>
    <w:p>
      <w:r>
        <w:t>The scope of arrangements in the review was confirmed. It includes base salary, productivity-based compensation, and any medical directorship or call pay in effect. Arrangements changed after the review's start are logged but not analyzed unless the client asks for them.</w:t>
      </w:r>
    </w:p>
    <w:p>
      <w:r>
        <w:t>Cadence was agreed. A short internal check will run each week. The next working session with the client will follow once the inventory is complete and the benchmark set is fixed.</w:t>
      </w:r>
    </w:p>
    <w:p>
      <w:r>
        <w:t>Timeline was reviewed against the plan. The review is in its early phase and on schedule. Nothing discussed changed the planned sequence of work.</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Action</w:t>
            </w:r>
          </w:p>
        </w:tc>
        <w:tc>
          <w:tcPr>
            <w:tcW w:type="dxa" w:w="2880"/>
          </w:tcPr>
          <w:p>
            <w:r>
              <w:rPr>
                <w:b/>
              </w:rPr>
              <w:t>Owner</w:t>
            </w:r>
          </w:p>
        </w:tc>
        <w:tc>
          <w:tcPr>
            <w:tcW w:type="dxa" w:w="2880"/>
          </w:tcPr>
          <w:p>
            <w:r>
              <w:rPr>
                <w:b/>
              </w:rPr>
              <w:t>Target</w:t>
            </w:r>
          </w:p>
        </w:tc>
      </w:tr>
      <w:tr>
        <w:tc>
          <w:tcPr>
            <w:tcW w:type="dxa" w:w="2880"/>
          </w:tcPr>
          <w:p>
            <w:r>
              <w:t>Key and double-check the scanned executed agreements into the inventory</w:t>
            </w:r>
          </w:p>
        </w:tc>
        <w:tc>
          <w:tcPr>
            <w:tcW w:type="dxa" w:w="2880"/>
          </w:tcPr>
          <w:p>
            <w:r>
              <w:t>Patricia Moore</w:t>
            </w:r>
          </w:p>
        </w:tc>
        <w:tc>
          <w:tcPr>
            <w:tcW w:type="dxa" w:w="2880"/>
          </w:tcPr>
          <w:p>
            <w:r>
              <w:t>This week</w:t>
            </w:r>
          </w:p>
        </w:tc>
      </w:tr>
      <w:tr>
        <w:tc>
          <w:tcPr>
            <w:tcW w:type="dxa" w:w="2880"/>
          </w:tcPr>
          <w:p>
            <w:r>
              <w:t>Complete the sourced inventory of compensation arrangements</w:t>
            </w:r>
          </w:p>
        </w:tc>
        <w:tc>
          <w:tcPr>
            <w:tcW w:type="dxa" w:w="2880"/>
          </w:tcPr>
          <w:p>
            <w:r>
              <w:t>Patricia Moore</w:t>
            </w:r>
          </w:p>
        </w:tc>
        <w:tc>
          <w:tcPr>
            <w:tcW w:type="dxa" w:w="2880"/>
          </w:tcPr>
          <w:p>
            <w:r>
              <w:t>Next week</w:t>
            </w:r>
          </w:p>
        </w:tc>
      </w:tr>
      <w:tr>
        <w:tc>
          <w:tcPr>
            <w:tcW w:type="dxa" w:w="2880"/>
          </w:tcPr>
          <w:p>
            <w:r>
              <w:t>Finalize the benchmark set by specialty and market</w:t>
            </w:r>
          </w:p>
        </w:tc>
        <w:tc>
          <w:tcPr>
            <w:tcW w:type="dxa" w:w="2880"/>
          </w:tcPr>
          <w:p>
            <w:r>
              <w:t>Daniel Alvarado</w:t>
            </w:r>
          </w:p>
        </w:tc>
        <w:tc>
          <w:tcPr>
            <w:tcW w:type="dxa" w:w="2880"/>
          </w:tcPr>
          <w:p>
            <w:r>
              <w:t>Next week</w:t>
            </w:r>
          </w:p>
        </w:tc>
      </w:tr>
      <w:tr>
        <w:tc>
          <w:tcPr>
            <w:tcW w:type="dxa" w:w="2880"/>
          </w:tcPr>
          <w:p>
            <w:r>
              <w:t>Route the two open productivity figures from the client side</w:t>
            </w:r>
          </w:p>
        </w:tc>
        <w:tc>
          <w:tcPr>
            <w:tcW w:type="dxa" w:w="2880"/>
          </w:tcPr>
          <w:p>
            <w:r>
              <w:t>Laura Phillips</w:t>
            </w:r>
          </w:p>
        </w:tc>
        <w:tc>
          <w:tcPr>
            <w:tcW w:type="dxa" w:w="2880"/>
          </w:tcPr>
          <w:p>
            <w:r>
              <w:t>End of week</w:t>
            </w:r>
          </w:p>
        </w:tc>
      </w:tr>
      <w:tr>
        <w:tc>
          <w:tcPr>
            <w:tcW w:type="dxa" w:w="2880"/>
          </w:tcPr>
          <w:p>
            <w:r>
              <w:t>Record the plan-versus-practice divergence as a documented finding</w:t>
            </w:r>
          </w:p>
        </w:tc>
        <w:tc>
          <w:tcPr>
            <w:tcW w:type="dxa" w:w="2880"/>
          </w:tcPr>
          <w:p>
            <w:r>
              <w:t>Patricia Moore</w:t>
            </w:r>
          </w:p>
        </w:tc>
        <w:tc>
          <w:tcPr>
            <w:tcW w:type="dxa" w:w="2880"/>
          </w:tcPr>
          <w:p>
            <w:r>
              <w:t>Ongoing</w:t>
            </w:r>
          </w:p>
        </w:tc>
      </w:tr>
    </w:tbl>
    <w:p>
      <w:r>
        <w:t>Minutes prepared by Daniel Alvarado.</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Verdant Health Advisory LLC</w:t>
    </w:r>
  </w:p>
  <w:p>
    <w:r>
      <w:rPr>
        <w:sz w:val="18"/>
      </w:rPr>
      <w:t>www.verdanthealthadvisory.com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Verdant Health Advisory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Physician Compensation Review for Johnson, Cross and Gibbs</dc:title>
  <dc:subject/>
  <dc:creator>Daniel Alvarado</dc:creator>
  <cp:keywords/>
  <dc:description>generated by python-docx</dc:description>
  <cp:lastModifiedBy>Daniel Alvarado</cp:lastModifiedBy>
  <cp:revision>1</cp:revision>
  <dcterms:created xsi:type="dcterms:W3CDTF">2021-07-16T09:00:00Z</dcterms:created>
  <dcterms:modified xsi:type="dcterms:W3CDTF">2021-07-16T09:00:00Z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