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Minutes of our working session on the ambulatory network study for Lopez, Mcbride and Evans. Recorded by Daniel Alvarado.</w:t>
      </w:r>
    </w:p>
    <w:p>
      <w:pPr>
        <w:pStyle w:val="Heading2"/>
      </w:pPr>
      <w:r>
        <w:t>Present</w:t>
      </w:r>
    </w:p>
    <w:p>
      <w:pPr>
        <w:pStyle w:val="ListBullet"/>
      </w:pPr>
      <w:r>
        <w:t>Daniel Alvarado, Principal, Advisory</w:t>
      </w:r>
    </w:p>
    <w:p>
      <w:pPr>
        <w:pStyle w:val="ListBullet"/>
      </w:pPr>
      <w:r>
        <w:t>Barbara Freeman, Analyst, Advisory</w:t>
      </w:r>
    </w:p>
    <w:p>
      <w:pPr>
        <w:pStyle w:val="ListBullet"/>
      </w:pPr>
      <w:r>
        <w:t>Joshua Dougherty, Analyst, Advisory</w:t>
      </w:r>
    </w:p>
    <w:p>
      <w:pPr>
        <w:pStyle w:val="ListBullet"/>
      </w:pPr>
      <w:r>
        <w:t>Angela Mahoney, General Manager, Lopez, Mcbride and Evans</w:t>
      </w:r>
    </w:p>
    <w:p>
      <w:pPr>
        <w:pStyle w:val="Heading2"/>
      </w:pPr>
      <w:r>
        <w:t>Discussion</w:t>
      </w:r>
    </w:p>
    <w:p>
      <w:r>
        <w:t>We are at the midpoint, and the picture is starting to resolve. The reconciled data holds, and the service-line contribution view now ties back to the ledger Lopez, Mcbride and Evans maintains. That gives us a base we can trust, which is the thing we most needed before drawing any conclusion.</w:t>
      </w:r>
    </w:p>
    <w:p>
      <w:r>
        <w:t>One note on the data before the substance. Their share is clean, so we spent no real time chasing files. The only rebuild was on the cost side, where we assembled service-line cost from the ledger and the case-costing detail and reconciled the two, and Barbara Freeman has that tie holding.</w:t>
      </w:r>
    </w:p>
    <w:p>
      <w:r>
        <w:t>Barbara Freeman then walked the contribution model. Two service lines are clearly carrying the network, and their margins are not close calls. One line sits nearer the break-even point than the client had expected, and on first read the cause looks like payer mix rather than cost. We are treating that as a finding to confirm, not a conclusion to report.</w:t>
      </w:r>
    </w:p>
    <w:p>
      <w:r>
        <w:t>The two strong lines are worth stating plainly even now. They are volume lines with a favorable payer mix, and nothing in the data threatens that read. We will still show the client the full contribution table rather than only the headline, because the value to them is in seeing the whole ranking.</w:t>
      </w:r>
    </w:p>
    <w:p>
      <w:r>
        <w:t>Joshua Dougherty raised a fair question on the shared-cost allocation. It matters more than it sounds, because the marginal line moves across break-even depending on the method chosen. We agreed to run it both ways and show the client the sensitivity, instead of settling on one method quietly and presenting a single number.</w:t>
      </w:r>
    </w:p>
    <w:p>
      <w:r>
        <w:t>Angela Mahoney asked whether we could name the weak line now. We said not yet, and we told her why. We have one open allocation question and one payer-mix effect still to confirm, and either could change the answer. She was comfortable waiting for the tested version, which is the right instinct.</w:t>
      </w:r>
    </w:p>
    <w:p>
      <w:r>
        <w:t>On pace, we are where we planned to be at this stage. The work still ahead is confirmation more than discovery. We are keeping recommendations out of these minutes on purpose; they belong in the report, set after the findings that carry them.</w:t>
      </w:r>
    </w:p>
    <w:p>
      <w:r>
        <w:t>We also settled the cadence. Barbara Freeman will refresh the reconciliation against the client's latest extract, and we will hold the next working session once the two open items are tested. Nothing agreed here is left to memory; the items below carry an owner against each.</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Confirm the payer-mix effect on the marginal service line</w:t>
            </w:r>
          </w:p>
        </w:tc>
        <w:tc>
          <w:tcPr>
            <w:tcW w:type="dxa" w:w="2880"/>
          </w:tcPr>
          <w:p>
            <w:r>
              <w:t>Barbara Freeman</w:t>
            </w:r>
          </w:p>
        </w:tc>
        <w:tc>
          <w:tcPr>
            <w:tcW w:type="dxa" w:w="2880"/>
          </w:tcPr>
          <w:p>
            <w:r>
              <w:t>Open</w:t>
            </w:r>
          </w:p>
        </w:tc>
      </w:tr>
      <w:tr>
        <w:tc>
          <w:tcPr>
            <w:tcW w:type="dxa" w:w="2880"/>
          </w:tcPr>
          <w:p>
            <w:r>
              <w:t>Run the shared-cost allocation both ways and quantify the swing</w:t>
            </w:r>
          </w:p>
        </w:tc>
        <w:tc>
          <w:tcPr>
            <w:tcW w:type="dxa" w:w="2880"/>
          </w:tcPr>
          <w:p>
            <w:r>
              <w:t>Joshua Dougherty</w:t>
            </w:r>
          </w:p>
        </w:tc>
        <w:tc>
          <w:tcPr>
            <w:tcW w:type="dxa" w:w="2880"/>
          </w:tcPr>
          <w:p>
            <w:r>
              <w:t>Open</w:t>
            </w:r>
          </w:p>
        </w:tc>
      </w:tr>
      <w:tr>
        <w:tc>
          <w:tcPr>
            <w:tcW w:type="dxa" w:w="2880"/>
          </w:tcPr>
          <w:p>
            <w:r>
              <w:t>Reconcile the latest data extract to the client's ledger</w:t>
            </w:r>
          </w:p>
        </w:tc>
        <w:tc>
          <w:tcPr>
            <w:tcW w:type="dxa" w:w="2880"/>
          </w:tcPr>
          <w:p>
            <w:r>
              <w:t>Barbara Freeman</w:t>
            </w:r>
          </w:p>
        </w:tc>
        <w:tc>
          <w:tcPr>
            <w:tcW w:type="dxa" w:w="2880"/>
          </w:tcPr>
          <w:p>
            <w:r>
              <w:t>In progress</w:t>
            </w:r>
          </w:p>
        </w:tc>
      </w:tr>
      <w:tr>
        <w:tc>
          <w:tcPr>
            <w:tcW w:type="dxa" w:w="2880"/>
          </w:tcPr>
          <w:p>
            <w:r>
              <w:t>Send the client the questions on their case-mix coding</w:t>
            </w:r>
          </w:p>
        </w:tc>
        <w:tc>
          <w:tcPr>
            <w:tcW w:type="dxa" w:w="2880"/>
          </w:tcPr>
          <w:p>
            <w:r>
              <w:t>Daniel Alvarado</w:t>
            </w:r>
          </w:p>
        </w:tc>
        <w:tc>
          <w:tcPr>
            <w:tcW w:type="dxa" w:w="2880"/>
          </w:tcPr>
          <w:p>
            <w:r>
              <w:t>Open</w:t>
            </w:r>
          </w:p>
        </w:tc>
      </w:tr>
      <w:tr>
        <w:tc>
          <w:tcPr>
            <w:tcW w:type="dxa" w:w="2880"/>
          </w:tcPr>
          <w:p>
            <w:r>
              <w:t>Circulate the full contribution table ahead of the next session</w:t>
            </w:r>
          </w:p>
        </w:tc>
        <w:tc>
          <w:tcPr>
            <w:tcW w:type="dxa" w:w="2880"/>
          </w:tcPr>
          <w:p>
            <w:r>
              <w:t>Joshua Dougherty</w:t>
            </w:r>
          </w:p>
        </w:tc>
        <w:tc>
          <w:tcPr>
            <w:tcW w:type="dxa" w:w="2880"/>
          </w:tcPr>
          <w:p>
            <w:r>
              <w:t>Open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Ambulatory Network Study for Lopez, Mcbride and Evans</dc:title>
  <dc:subject/>
  <dc:creator>Daniel Alvarado</dc:creator>
  <cp:keywords/>
  <dc:description>generated by python-docx</dc:description>
  <cp:lastModifiedBy>Daniel Alvarado</cp:lastModifiedBy>
  <cp:revision>1</cp:revision>
  <dcterms:created xsi:type="dcterms:W3CDTF">2023-05-05T09:00:00Z</dcterms:created>
  <dcterms:modified xsi:type="dcterms:W3CDTF">2023-05-05T09:00:00Z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