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Minutes of our working session on the ambulatory network study for Lopez, Mcbride and Evans. Recorded by Daniel Alvarado.</w:t>
      </w:r>
    </w:p>
    <w:p>
      <w:pPr>
        <w:pStyle w:val="Heading2"/>
      </w:pPr>
      <w:r>
        <w:t>Present</w:t>
      </w:r>
    </w:p>
    <w:p>
      <w:pPr>
        <w:pStyle w:val="ListBullet"/>
      </w:pPr>
      <w:r>
        <w:t>Daniel Alvarado, Principal, Advisory</w:t>
      </w:r>
    </w:p>
    <w:p>
      <w:pPr>
        <w:pStyle w:val="ListBullet"/>
      </w:pPr>
      <w:r>
        <w:t>Barbara Freeman, Analyst, Advisory</w:t>
      </w:r>
    </w:p>
    <w:p>
      <w:pPr>
        <w:pStyle w:val="ListBullet"/>
      </w:pPr>
      <w:r>
        <w:t>Joshua Dougherty, Analyst, Advisory</w:t>
      </w:r>
    </w:p>
    <w:p>
      <w:pPr>
        <w:pStyle w:val="ListBullet"/>
      </w:pPr>
      <w:r>
        <w:t>Angela Mahoney, General Manager, Lopez, Mcbride and Evans</w:t>
      </w:r>
    </w:p>
    <w:p>
      <w:pPr>
        <w:pStyle w:val="Heading2"/>
      </w:pPr>
      <w:r>
        <w:t>Discussion</w:t>
      </w:r>
    </w:p>
    <w:p>
      <w:r>
        <w:t>We are near the end, and the findings hold. The marginal service line came down to payer mix, not cost, and we can now say so with the data standing behind it. That was the last open question of any substance.</w:t>
      </w:r>
    </w:p>
    <w:p>
      <w:r>
        <w:t>Barbara Freeman closed the reconciliation. The contribution view ties to the ledger Lopez, Mcbride and Evans maintains at every line, and nothing in the final extract moved a service line across the break-even boundary. The base is settled.</w:t>
      </w:r>
    </w:p>
    <w:p>
      <w:r>
        <w:t>The picture is a clean one. The two strong lines carry the network on volume and a favorable payer mix. The rest sit above their cost, save the one weak line, which does not cover its cost, and the reason is the payer mix it draws rather than how it is run.</w:t>
      </w:r>
    </w:p>
    <w:p>
      <w:r>
        <w:t>Joshua Dougherty finished the allocation sensitivity. Both methods leave the two strong lines strong and the weak line weak, so the conclusion does not depend on the choice. The client asked for that comparison specifically, and it is reassuring to be able to give the same answer either way.</w:t>
      </w:r>
    </w:p>
    <w:p>
      <w:r>
        <w:t>Angela Mahoney asked whether the weak line should be read as a recommendation to close it. We said no, and we were careful about the distinction. Our finding is that the line does not cover its cost at the current payer mix. What the client decides to do about that is a decision for the client, and the report will label our recommendation as a recommendation, kept separate from the finding.</w:t>
      </w:r>
    </w:p>
    <w:p>
      <w:r>
        <w:t>We also talked through the options the report will lay out, without ranking them here. A shift in payer mix, a change in the case scheduled to that line, and consolidation onto fewer sessions each change the arithmetic in a different way. We will show the effect of each and let the client weigh them.</w:t>
      </w:r>
    </w:p>
    <w:p>
      <w:r>
        <w:t>We agreed the shape of the report. Findings first, recommendations after and labeled as such, and the allocation sensitivity documented in an appendix, so the client can see the working. Barbara Freeman and Joshua Dougherty will square away the tables while the drafting is under way.</w:t>
      </w:r>
    </w:p>
    <w:p>
      <w:r>
        <w:t>On pace, we are in the last stretch. What remains is drafting and review, not analysis. We will bring a draft to the client for a factual read before anything is called final.</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Status</w:t>
            </w:r>
          </w:p>
        </w:tc>
      </w:tr>
      <w:tr>
        <w:tc>
          <w:tcPr>
            <w:tcW w:type="dxa" w:w="2880"/>
          </w:tcPr>
          <w:p>
            <w:r>
              <w:t>Draft the findings section, with recommendations set apart and labeled</w:t>
            </w:r>
          </w:p>
        </w:tc>
        <w:tc>
          <w:tcPr>
            <w:tcW w:type="dxa" w:w="2880"/>
          </w:tcPr>
          <w:p>
            <w:r>
              <w:t>Daniel Alvarado</w:t>
            </w:r>
          </w:p>
        </w:tc>
        <w:tc>
          <w:tcPr>
            <w:tcW w:type="dxa" w:w="2880"/>
          </w:tcPr>
          <w:p>
            <w:r>
              <w:t>In progress</w:t>
            </w:r>
          </w:p>
        </w:tc>
      </w:tr>
      <w:tr>
        <w:tc>
          <w:tcPr>
            <w:tcW w:type="dxa" w:w="2880"/>
          </w:tcPr>
          <w:p>
            <w:r>
              <w:t>Finalize the contribution tables and assumption log</w:t>
            </w:r>
          </w:p>
        </w:tc>
        <w:tc>
          <w:tcPr>
            <w:tcW w:type="dxa" w:w="2880"/>
          </w:tcPr>
          <w:p>
            <w:r>
              <w:t>Barbara Freeman</w:t>
            </w:r>
          </w:p>
        </w:tc>
        <w:tc>
          <w:tcPr>
            <w:tcW w:type="dxa" w:w="2880"/>
          </w:tcPr>
          <w:p>
            <w:r>
              <w:t>In progress</w:t>
            </w:r>
          </w:p>
        </w:tc>
      </w:tr>
      <w:tr>
        <w:tc>
          <w:tcPr>
            <w:tcW w:type="dxa" w:w="2880"/>
          </w:tcPr>
          <w:p>
            <w:r>
              <w:t>Document the allocation sensitivity for the appendix</w:t>
            </w:r>
          </w:p>
        </w:tc>
        <w:tc>
          <w:tcPr>
            <w:tcW w:type="dxa" w:w="2880"/>
          </w:tcPr>
          <w:p>
            <w:r>
              <w:t>Joshua Dougherty</w:t>
            </w:r>
          </w:p>
        </w:tc>
        <w:tc>
          <w:tcPr>
            <w:tcW w:type="dxa" w:w="2880"/>
          </w:tcPr>
          <w:p>
            <w:r>
              <w:t>Open</w:t>
            </w:r>
          </w:p>
        </w:tc>
      </w:tr>
      <w:tr>
        <w:tc>
          <w:tcPr>
            <w:tcW w:type="dxa" w:w="2880"/>
          </w:tcPr>
          <w:p>
            <w:r>
              <w:t>Lay out the options on the weak service line, without ranking them</w:t>
            </w:r>
          </w:p>
        </w:tc>
        <w:tc>
          <w:tcPr>
            <w:tcW w:type="dxa" w:w="2880"/>
          </w:tcPr>
          <w:p>
            <w:r>
              <w:t>Daniel Alvarado</w:t>
            </w:r>
          </w:p>
        </w:tc>
        <w:tc>
          <w:tcPr>
            <w:tcW w:type="dxa" w:w="2880"/>
          </w:tcPr>
          <w:p>
            <w:r>
              <w:t>Open</w:t>
            </w:r>
          </w:p>
        </w:tc>
      </w:tr>
      <w:tr>
        <w:tc>
          <w:tcPr>
            <w:tcW w:type="dxa" w:w="2880"/>
          </w:tcPr>
          <w:p>
            <w:r>
              <w:t>Schedule the draft review with the client</w:t>
            </w:r>
          </w:p>
        </w:tc>
        <w:tc>
          <w:tcPr>
            <w:tcW w:type="dxa" w:w="2880"/>
          </w:tcPr>
          <w:p>
            <w:r>
              <w:t>Daniel Alvarado</w:t>
            </w:r>
          </w:p>
        </w:tc>
        <w:tc>
          <w:tcPr>
            <w:tcW w:type="dxa" w:w="2880"/>
          </w:tcPr>
          <w:p>
            <w:r>
              <w:t>Open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Ambulatory Network Study for Lopez, Mcbride and Evans</dc:title>
  <dc:subject/>
  <dc:creator>Daniel Alvarado</dc:creator>
  <cp:keywords/>
  <dc:description>generated by python-docx</dc:description>
  <cp:lastModifiedBy>Daniel Alvarado</cp:lastModifiedBy>
  <cp:revision>1</cp:revision>
  <dcterms:created xsi:type="dcterms:W3CDTF">2023-08-04T09:00:00Z</dcterms:created>
  <dcterms:modified xsi:type="dcterms:W3CDTF">2023-08-04T09:00:00Z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