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 Id="rIdOrgSmith" Type="http://schemas.openxmlformats.org/officeDocument/2006/relationships/custom-properties" Target="docProps/custom.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Status Report: Revenue Cycle Diagnostic for Sullivan, Hall and Kelly</w:t>
      </w:r>
    </w:p>
    <w:p>
      <w:r>
        <w:t>Prepared for Sullivan, Hall and Kelly by Susan Clark, Principal, and reviewed by Daniel Alvarado, Principal, before it was sent.</w:t>
      </w:r>
    </w:p>
    <w:p>
      <w:pPr>
        <w:pStyle w:val="Heading2"/>
      </w:pPr>
      <w:r>
        <w:t>Where the Work Stands</w:t>
      </w:r>
    </w:p>
    <w:p>
      <w:r>
        <w:t>The diagnostic is at its midpoint and on plan. The claim, remittance, and adjustment data now reconciles to your general ledger, which gives us a measured base rather than an impression, and the work from here is confirmation of what that base is telling us rather than any further assembly. Nothing in this report is a final finding, and we have marked plainly what is settled and what we are still testing.</w:t>
      </w:r>
    </w:p>
    <w:p>
      <w:r>
        <w:t>The extracts your billing team provided came to us clean, which has kept us on schedule, and the only real handwork has been on the executed statements and consents that your contracting office prints and scans, which reach us as images and which we have read and keyed by hand rather than pulled. That work is complete, and it was never on the critical path.</w:t>
      </w:r>
    </w:p>
    <w:p>
      <w:r>
        <w:t>One point of method is worth stating early, because it governs how you should read every figure that follows. We are drawing a firm line between the money we can demonstrate is recoverable and the money that is simply the price of a given payer relationship, and we are counting only the first of those as a loss you can act on, so the recoverable figures in this and the final report are the conservative ones and are meant to be defensible line by line.</w:t>
      </w:r>
    </w:p>
    <w:p>
      <w:pPr>
        <w:pStyle w:val="Heading2"/>
      </w:pPr>
      <w:r>
        <w:t>Completed This Period</w:t>
      </w:r>
    </w:p>
    <w:p>
      <w:r>
        <w:t>The work this period was assembly and first analysis, and we completed the following.</w:t>
      </w:r>
    </w:p>
    <w:p>
      <w:pPr>
        <w:pStyle w:val="ListBullet"/>
      </w:pPr>
      <w:r>
        <w:t>Assembled and reconciled the claim-level detail, remittances, and write-off data to your general ledger, by payer and service line, so that every figure we report can be traced back to a source.</w:t>
      </w:r>
    </w:p>
    <w:p>
      <w:pPr>
        <w:pStyle w:val="ListBullet"/>
      </w:pPr>
      <w:r>
        <w:t>Categorized the denial population by cause and payer, and established a first read that a large share of denials originate at the front end, in eligibility and authorization, rather than in coding.</w:t>
      </w:r>
    </w:p>
    <w:p>
      <w:pPr>
        <w:pStyle w:val="ListBullet"/>
      </w:pPr>
      <w:r>
        <w:t>Aged the receivables and isolated a single commercial payer running well past its peers, and began separating genuinely slow payment from denied claims caught in the same aging.</w:t>
      </w:r>
    </w:p>
    <w:p>
      <w:pPr>
        <w:pStyle w:val="ListBullet"/>
      </w:pPr>
      <w:r>
        <w:t>Sampled charge capture against clinical documentation and found it broadly sound, which lets us weigh undercoding as the smaller of the losses rather than the larger.</w:t>
      </w:r>
    </w:p>
    <w:p>
      <w:pPr>
        <w:pStyle w:val="Heading2"/>
      </w:pPr>
      <w:r>
        <w:t>The Period Ahead</w:t>
      </w:r>
    </w:p>
    <w:p>
      <w:r>
        <w:t>The next period turns from measuring the cycle to confirming what those measures mean, and we plan to do the following.</w:t>
      </w:r>
    </w:p>
    <w:p>
      <w:pPr>
        <w:pStyle w:val="ListBullet"/>
      </w:pPr>
      <w:r>
        <w:t>Confirm the share of denials that begin in eligibility and authorization, and quantify the revenue that a disciplined front-end check would protect.</w:t>
      </w:r>
    </w:p>
    <w:p>
      <w:pPr>
        <w:pStyle w:val="ListBullet"/>
      </w:pPr>
      <w:r>
        <w:t>Complete the underpayment check, comparing paid claims against contracted rates for your largest payers, since a payer paying below contract is a loss the cycle does not currently flag.</w:t>
      </w:r>
    </w:p>
    <w:p>
      <w:pPr>
        <w:pStyle w:val="ListBullet"/>
      </w:pPr>
      <w:r>
        <w:t>Size the recoverable portion of the aged receivables for the outlier payer, kept separate from what is merely slow to pay.</w:t>
      </w:r>
    </w:p>
    <w:p>
      <w:pPr>
        <w:pStyle w:val="ListBullet"/>
      </w:pPr>
      <w:r>
        <w:t>Draft the findings, with each recommendation set apart and labeled as a recommendation, and review a draft with your team before anything is called final.</w:t>
      </w:r>
    </w:p>
    <w:p>
      <w:pPr>
        <w:pStyle w:val="Heading2"/>
      </w:pPr>
      <w:r>
        <w:t>What We Need From You</w:t>
      </w:r>
    </w:p>
    <w:p>
      <w:r>
        <w:t>Two things from your team would keep us on the current pace, and neither is urgent this week, so we set them out now while there is time to gather them.</w:t>
      </w:r>
    </w:p>
    <w:p>
      <w:pPr>
        <w:pStyle w:val="ListBullet"/>
      </w:pPr>
      <w:r>
        <w:t>The eligibility and authorization detail behind the denied claims, so that we can confirm how much of the front-end loss your system is already recording and how much of it goes uncaptured.</w:t>
      </w:r>
    </w:p>
    <w:p>
      <w:pPr>
        <w:pStyle w:val="ListBullet"/>
      </w:pPr>
      <w:r>
        <w:t>A short session with whoever owns your payer contracts, so that the rates we test paid claims against are the rates you are actually owed rather than the ones we have had to infer from the remittances.</w:t>
      </w:r>
    </w:p>
    <w:p>
      <w:pPr>
        <w:pStyle w:val="Heading2"/>
      </w:pPr>
      <w:r>
        <w:t>Risks and Watch Items</w:t>
      </w:r>
    </w:p>
    <w:p>
      <w:r>
        <w:t>Three items could still move the findings, and we want them on your radar.</w:t>
      </w:r>
    </w:p>
    <w:p>
      <w:pPr>
        <w:pStyle w:val="ListBullet"/>
      </w:pPr>
      <w:r>
        <w:t>Front-end data. Our read that denials begin at registration depends on the eligibility and authorization detail your system records, and where that detail is not captured we will say so and treat the estimate as a floor.</w:t>
      </w:r>
    </w:p>
    <w:p>
      <w:pPr>
        <w:pStyle w:val="ListBullet"/>
      </w:pPr>
      <w:r>
        <w:t>Contracted rates. The underpayment check is only as good as the rate schedules we are given, and any schedule we cannot obtain is a gap we will flag rather than fill with an assumption.</w:t>
      </w:r>
    </w:p>
    <w:p>
      <w:pPr>
        <w:pStyle w:val="ListBullet"/>
      </w:pPr>
      <w:r>
        <w:t>Completeness. Our conclusions describe the cycle as your data describes it to us, so a material gap in the source data is a limit on the finding, which we will state plainly rather than paper over.</w:t>
      </w:r>
    </w:p>
    <w:p>
      <w:pPr>
        <w:pStyle w:val="Heading2"/>
      </w:pPr>
      <w:r>
        <w:t>Budget</w:t>
      </w:r>
    </w:p>
    <w:p>
      <w:r>
        <w:t>The engagement is running against its fixed budget of $53,000, and the effort spent to date is roughly half of it, which is where it should sit at the halfway mark. No part of the work so far has fallen outside the scope set in our engagement letter, and we would tell you in writing before taking up anything that did.</w:t>
      </w:r>
    </w:p>
    <w:p>
      <w:r>
        <w:t>Our next report will carry the tested findings on the front-end denials and the underpayment check, which are the two questions that will most shape the recommendations. If anything in your operations changed during this period that we should factor in, we would ask you to tell us before we begin to draft.</w:t>
      </w:r>
    </w:p>
    <w:sectPr w:rsidR="00FC693F" w:rsidRPr="0006063C" w:rsidSect="00034616">
      <w:headerReference w:type="first" r:id="rId9"/>
      <w:headerReference w:type="default" r:id="rId10"/>
      <w:footerReference w:type="default" r:id="rId11"/>
      <w:footerReference w:type="first" r:id="rId12"/>
      <w:pgSz w:w="12240" w:h="15840"/>
      <w:pgMar w:top="1440" w:right="1800" w:bottom="1440" w:left="180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fldSimple w:instr=" PAGE ">
      <w:r>
        <w:t>1</w:t>
      </w:r>
    </w:fldSimpl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fldSimple w:instr=" PAGE ">
      <w: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b/>
        <w:color w:val="1E4D2B"/>
        <w:sz w:val="28"/>
      </w:rPr>
      <w:t>Verdant Health Advisory LLC</w:t>
    </w:r>
  </w:p>
  <w:p>
    <w:r>
      <w:rPr>
        <w:sz w:val="18"/>
      </w:rPr>
      <w:t>www.verdanthealthadvisory.com</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8"/>
      </w:rPr>
      <w:t>Verdant Health Advisory LLC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mbria" w:hAnsi="Cambr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Status Report: Revenue Cycle Diagnostic for Sullivan, Hall and Kelly</dc:title>
  <dc:subject/>
  <dc:creator>Susan Clark</dc:creator>
  <cp:keywords/>
  <dc:description>generated by python-docx</dc:description>
  <cp:lastModifiedBy>Susan Clark</cp:lastModifiedBy>
  <cp:revision>1</cp:revision>
  <dcterms:created xsi:type="dcterms:W3CDTF">2024-06-07T09:00:00Z</dcterms:created>
  <dcterms:modified xsi:type="dcterms:W3CDTF">2024-06-07T09:00:00Z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rgSmithSynthetic">
    <vt:lpwstr>true</vt:lpwstr>
  </property>
</Properties>
</file>