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Minutes of our working session on the revenue cycle diagnostic for Sullivan, Hall and Kelly. Recorded by Daniel Alvarado.</w:t>
      </w:r>
    </w:p>
    <w:p>
      <w:pPr>
        <w:pStyle w:val="Heading2"/>
      </w:pPr>
      <w:r>
        <w:t>Attendees</w:t>
      </w:r>
    </w:p>
    <w:p>
      <w:pPr>
        <w:pStyle w:val="ListBullet"/>
      </w:pPr>
      <w:r>
        <w:t>Daniel Alvarado, Principal, Advisory</w:t>
      </w:r>
    </w:p>
    <w:p>
      <w:pPr>
        <w:pStyle w:val="ListBullet"/>
      </w:pPr>
      <w:r>
        <w:t>Susan Clark, Principal, Advisory</w:t>
      </w:r>
    </w:p>
    <w:p>
      <w:pPr>
        <w:pStyle w:val="ListBullet"/>
      </w:pPr>
      <w:r>
        <w:t>Megan Wells, Director of Operations, Sullivan, Hall and Kelly</w:t>
      </w:r>
    </w:p>
    <w:p>
      <w:pPr>
        <w:pStyle w:val="Heading2"/>
      </w:pPr>
      <w:r>
        <w:t>Discussion</w:t>
      </w:r>
    </w:p>
    <w:p>
      <w:r>
        <w:t>The findings hold, and we are into drafting rather than analysis. The reconciliation ties at every line to the ledger Sullivan, Hall and Kelly keeps, and nothing in the final data moved a conclusion. This was the session where we agreed what the report will say.</w:t>
      </w:r>
    </w:p>
    <w:p>
      <w:r>
        <w:t>The front end is where the money is, and we can say so now with the data behind us. The larger share of recoverable denials begins at eligibility and authorization, not at coding, and a disciplined front-end check would protect most of it. That is the headline finding.</w:t>
      </w:r>
    </w:p>
    <w:p>
      <w:r>
        <w:t>The underpayment check turned up a second, quieter loss. One payer is paying below its contracted rate on a specific class of claim, and the cycle has not been catching it. Susan Clark has that quantified and tied back to the contract.</w:t>
      </w:r>
    </w:p>
    <w:p>
      <w:r>
        <w:t>The receivables came out where we thought they would. The outlier payer was slow more than it was denying, and the genuinely recoverable piece is smaller than the aging first suggested. We have it separated now, slow from denied, and only the denied share sits in the recoverable figure.</w:t>
      </w:r>
    </w:p>
    <w:p>
      <w:r>
        <w:t>We were careful, as we always are, to separate what is recoverable from what is not. Some of the write-offs we examined are simply the price of certain payer relationships, and we will not dress those up as recoverable. The recoverable figure in the report is the conservative one, and we can defend every dollar of it.</w:t>
      </w:r>
    </w:p>
    <w:p>
      <w:r>
        <w:t>The scanned statements are all keyed now, and nothing in them changed a finding. They mattered for completeness more than for the numbers. It was worth doing by hand, and it is done.</w:t>
      </w:r>
    </w:p>
    <w:p>
      <w:r>
        <w:t>Megan Wells asked whether the front-end finding means the client should reorganize registration. We were careful with the line between finding and recommendation. Our finding is that recoverable denials begin at the front end, and what the client does about that is the client's decision; the report will label our recommendation as a recommendation, kept apart from the finding it rests on.</w:t>
      </w:r>
    </w:p>
    <w:p>
      <w:r>
        <w:t>We agreed the shape of the report. Findings first, recommendations after and labeled as such, and the underpayment detail documented in an appendix so the client can see the working. Susan Clark and I will square away the tables while the drafting is under way, and we will bring a draft to Sullivan, Hall and Kelly for a factual read before anything is called final.</w:t>
      </w:r>
    </w:p>
    <w:p>
      <w:r>
        <w:t>On pace, we are in the last stretch, and what remains is drafting and review rather than analysis. Nothing agreed here is left to memory; the items below carry an owner against each.</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Draft the findings section, with recommendations set apart and labeled</w:t>
            </w:r>
          </w:p>
        </w:tc>
        <w:tc>
          <w:tcPr>
            <w:tcW w:type="dxa" w:w="2880"/>
          </w:tcPr>
          <w:p>
            <w:r>
              <w:t>Daniel Alvarado</w:t>
            </w:r>
          </w:p>
        </w:tc>
        <w:tc>
          <w:tcPr>
            <w:tcW w:type="dxa" w:w="2880"/>
          </w:tcPr>
          <w:p>
            <w:r>
              <w:t>In progress</w:t>
            </w:r>
          </w:p>
        </w:tc>
      </w:tr>
      <w:tr>
        <w:tc>
          <w:tcPr>
            <w:tcW w:type="dxa" w:w="2880"/>
          </w:tcPr>
          <w:p>
            <w:r>
              <w:t>Finalize the recoverable-denials figure and the assumption log</w:t>
            </w:r>
          </w:p>
        </w:tc>
        <w:tc>
          <w:tcPr>
            <w:tcW w:type="dxa" w:w="2880"/>
          </w:tcPr>
          <w:p>
            <w:r>
              <w:t>Susan Clark</w:t>
            </w:r>
          </w:p>
        </w:tc>
        <w:tc>
          <w:tcPr>
            <w:tcW w:type="dxa" w:w="2880"/>
          </w:tcPr>
          <w:p>
            <w:r>
              <w:t>In progress</w:t>
            </w:r>
          </w:p>
        </w:tc>
      </w:tr>
      <w:tr>
        <w:tc>
          <w:tcPr>
            <w:tcW w:type="dxa" w:w="2880"/>
          </w:tcPr>
          <w:p>
            <w:r>
              <w:t>Document the payer underpayment detail for the appendix</w:t>
            </w:r>
          </w:p>
        </w:tc>
        <w:tc>
          <w:tcPr>
            <w:tcW w:type="dxa" w:w="2880"/>
          </w:tcPr>
          <w:p>
            <w:r>
              <w:t>Susan Clark</w:t>
            </w:r>
          </w:p>
        </w:tc>
        <w:tc>
          <w:tcPr>
            <w:tcW w:type="dxa" w:w="2880"/>
          </w:tcPr>
          <w:p>
            <w:r>
              <w:t>Open</w:t>
            </w:r>
          </w:p>
        </w:tc>
      </w:tr>
      <w:tr>
        <w:tc>
          <w:tcPr>
            <w:tcW w:type="dxa" w:w="2880"/>
          </w:tcPr>
          <w:p>
            <w:r>
              <w:t>Lay out the front-end options without ranking them</w:t>
            </w:r>
          </w:p>
        </w:tc>
        <w:tc>
          <w:tcPr>
            <w:tcW w:type="dxa" w:w="2880"/>
          </w:tcPr>
          <w:p>
            <w:r>
              <w:t>Daniel Alvarado</w:t>
            </w:r>
          </w:p>
        </w:tc>
        <w:tc>
          <w:tcPr>
            <w:tcW w:type="dxa" w:w="2880"/>
          </w:tcPr>
          <w:p>
            <w:r>
              <w:t>Open</w:t>
            </w:r>
          </w:p>
        </w:tc>
      </w:tr>
      <w:tr>
        <w:tc>
          <w:tcPr>
            <w:tcW w:type="dxa" w:w="2880"/>
          </w:tcPr>
          <w:p>
            <w:r>
              <w:t>Schedule the draft review with the client</w:t>
            </w:r>
          </w:p>
        </w:tc>
        <w:tc>
          <w:tcPr>
            <w:tcW w:type="dxa" w:w="2880"/>
          </w:tcPr>
          <w:p>
            <w:r>
              <w:t>Daniel Alvarado</w:t>
            </w:r>
          </w:p>
        </w:tc>
        <w:tc>
          <w:tcPr>
            <w:tcW w:type="dxa" w:w="2880"/>
          </w:tcPr>
          <w:p>
            <w:r>
              <w:t>Open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Revenue Cycle Diagnostic for Sullivan, Hall and Kelly</dc:title>
  <dc:subject/>
  <dc:creator>Daniel Alvarado</dc:creator>
  <cp:keywords/>
  <dc:description>generated by python-docx</dc:description>
  <cp:lastModifiedBy>Daniel Alvarado</cp:lastModifiedBy>
  <cp:revision>1</cp:revision>
  <dcterms:created xsi:type="dcterms:W3CDTF">2024-08-16T09:00:00Z</dcterms:created>
  <dcterms:modified xsi:type="dcterms:W3CDTF">2024-08-16T09:00:00Z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