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Verdant Health Advisory LLC</w:t>
      </w:r>
    </w:p>
    <w:p>
      <w:r>
        <w:t>We are a small healthcare advisory firm, and we spend our working lives in the part of this industry that rarely reaches the trade press: the plain question of which service lines actually earn their keep, whether a physician's compensation would survive a fair-market-value review, and where a revenue cycle is quietly losing money that everyone had assumed was arriving. Clients tend to find their way to us when one of those questions has become uncomfortable enough that it needs an answer they can defend rather than one that merely reassures, and that is the kind of work the firm was built for.</w:t>
      </w:r>
    </w:p>
    <w:p>
      <w:pPr>
        <w:pStyle w:val="Heading2"/>
      </w:pPr>
      <w:r>
        <w:t>The register we write in</w:t>
      </w:r>
    </w:p>
    <w:p>
      <w:r>
        <w:t>A great deal of what we produce is read by a general counsel before anyone acts on it, and we have learned to draft accordingly. What that means, in practice, is that we do not assert a conclusion the underlying analysis will not carry, and that we treat the language of fair market value as something to be used with care rather than as ornament. Our findings lead, our recommendations follow and are labelled as recommendations, and the line between the two is one we are unwilling to blur even in the moments when a client would plainly find the blurred version more comforting.</w:t>
      </w:r>
    </w:p>
    <w:p>
      <w:pPr>
        <w:pStyle w:val="Heading2"/>
      </w:pPr>
      <w:r>
        <w:t>The questions clients bring us</w:t>
      </w:r>
    </w:p>
    <w:p>
      <w:r>
        <w:t>Service line economics are the most common reason a health system calls. A hospital knows its total margin a good deal better than it knows the margin of any single department, and the patient work of separating the two, with the shared costs allocated in a way a skeptic would accept, is a large part of what we do. We present it findings first, with the recommendations set apart and identified as such, because the people who have to act on our work are entitled to see the evidence before they see our opinion of it.</w:t>
      </w:r>
    </w:p>
    <w:p>
      <w:r>
        <w:t>Physician compensation is the second question, and it is the most sensitive of them. When a group asks whether an arrangement it has already entered into, or one it is only contemplating, sits within fair market value, the answer carries consequences that reach well beyond the spreadsheet, and we write those engagements knowing that counsel will weigh every qualifying clause. We say what the data support, we say plainly where the support runs out, and we have never regarded the sentence "the evidence does not reach that far" as a failure of the analysis.</w:t>
      </w:r>
    </w:p>
    <w:p>
      <w:r>
        <w:t>The third question is the revenue cycle, where the trouble is rarely one dramatic leak and far more often a collection of small ones that have been mistaken, over the years, for the ordinary cost of doing business. Untangling that is slow and unglamorous work, and it tends to yield recommendations that look modest in isolation and, followed steadily, prove worth a good deal more than they seemed.</w:t>
      </w:r>
    </w:p>
    <w:p>
      <w:pPr>
        <w:pStyle w:val="Heading2"/>
      </w:pPr>
      <w:r>
        <w:t>A representative engagement</w:t>
      </w:r>
    </w:p>
    <w:p>
      <w:r>
        <w:t>By way of illustration rather than inventory, our work this year with Johnson, Cross and Gibbs is representative both of the kind of question clients bring us and of the way we prefer to answer it. We offer it as one example of the practice and not as an account of it, and a prospective client who wanted to understand how we work would learn more from that single relationship than from any longer list we might assemble.</w:t>
      </w:r>
    </w:p>
    <w:p>
      <w:pPr>
        <w:pStyle w:val="Heading2"/>
      </w:pPr>
      <w:r>
        <w:t>The people you would work with</w:t>
      </w:r>
    </w:p>
    <w:p>
      <w:r>
        <w:t>The firm is led by Laura Brown, its Managing Partner, and though this overview is written in the firm's collective voice I will step out of it briefly to say that the register described above is one I hold the practice to personally, in review, where I am at my most exacting with our own overstatements. Working alongside is Richard Marsh, our Engagement Manager, who is the colleague a client is most likely to deal with from one week to the next; he keeps the work moving, he is the one who turns a client's printed, signed, and scanned paperwork into something a team can actually reason from, and he is careful to a fault about using full names and titles wherever the relationship calls for them.</w:t>
      </w:r>
    </w:p>
    <w:p>
      <w:r>
        <w:t>We are deliberately a small firm, and we mean to remain one that a client can reach without first passing through three layers of people who were not in the room. If the questions set out above are the ones keeping a board or a general counsel awake at night, they are the questions this practice was assembled to answer, and we would be glad of the conversation.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Verdant Health Advisory LLC</w:t>
    </w:r>
  </w:p>
  <w:p>
    <w:r>
      <w:rPr>
        <w:sz w:val="18"/>
      </w:rPr>
      <w:t>www.verdanthealthadvisory.com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Verdant Health Advisory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Laura Brown</dc:creator>
  <cp:keywords/>
  <dc:description>generated by python-docx</dc:description>
  <cp:lastModifiedBy>Laura Brown</cp:lastModifiedBy>
  <cp:revision>1</cp:revision>
  <dcterms:created xsi:type="dcterms:W3CDTF">2020-09-03T09:00:00Z</dcterms:created>
  <dcterms:modified xsi:type="dcterms:W3CDTF">2020-09-03T09:00:00Z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