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Verdant Health Advisory LLC</w:t>
      </w:r>
    </w:p>
    <w:p>
      <w:r>
        <w:t>Some years into this work, the description of the firm we would give a prospective client has not changed a great deal, which is either a want of imagination or a sign that we chose the right ground to stand on. We are a small healthcare advisory practice, and our engagements sit in the unshowy middle of hospital and physician-group operations: whether a service line is earning its place, whether a compensation arrangement would hold up under a fair-market-value review, and where the revenue cycle is losing money that nobody meant to give away.</w:t>
      </w:r>
    </w:p>
    <w:p>
      <w:pPr>
        <w:pStyle w:val="Heading2"/>
      </w:pPr>
      <w:r>
        <w:t>What has not changed</w:t>
      </w:r>
    </w:p>
    <w:p>
      <w:r>
        <w:t>The discipline is the same as it was when we opened. A general counsel reads a good deal of what we write before anyone acts on it, so we do not assert a conclusion the analysis will not carry, we keep findings ahead of recommendations and label each for what it is, and we use the vocabulary of fair market value carefully, as a term of art with consequences and never as decoration. Clients who have worked with us for a while tell us that this is the part they came to rely on, and it is certainly the part we are least willing to relax.</w:t>
      </w:r>
    </w:p>
    <w:p>
      <w:pPr>
        <w:pStyle w:val="Heading2"/>
      </w:pPr>
      <w:r>
        <w:t>The work itself</w:t>
      </w:r>
    </w:p>
    <w:p>
      <w:r>
        <w:t>Service line economics remain the most common reason a health system calls, because a hospital nearly always understands its margin in the aggregate far better than it understands the margin of any one department, and the honest allocation of shared cost is where most of the disagreement, and most of the value, actually lives. Physician compensation is the most sensitive of our engagements, since a question about fair market value reaches well past the spreadsheet and into arrangements a client has often already signed. The revenue cycle is the quietest of the three, a matter of many small recoveries rather than one large one, and it rewards the sort of patience that does not photograph well.</w:t>
      </w:r>
    </w:p>
    <w:p>
      <w:r>
        <w:t>The clients we work for tend to be of three broad kinds, and the work looks a little different for each of them. A regional health system carries the weight of scale and a board that reads carefully; an independent physician group feels every finding personally, because the numbers are, in a real sense, its partners' own; and an ambulatory surgery joint venture answers to two or more owners whose interests do not always point the same way, so a finding written for it has to survive being read by parties who would each prefer a different answer. We have learned to write for all three audiences at once, which turns out to be mostly a matter of saying only what is true and saying it in the same words to everyone.</w:t>
      </w:r>
    </w:p>
    <w:p>
      <w:pPr>
        <w:pStyle w:val="Heading2"/>
      </w:pPr>
      <w:r>
        <w:t>A few engagements, by way of example</w:t>
      </w:r>
    </w:p>
    <w:p>
      <w:r>
        <w:t>It is easier to describe the practice through the work than through adjectives, so, offered as illustration and not as a ledger of everything we do, our engagements with Johnson, Cross and Gibbs, Johnson, Cross and Gibbs, and Lopez, Mcbride and Evans are fair examples of the questions clients bring us and of the register in which we answer them. Each is representative rather than exhaustive, and any one of them would tell a prospective client more about how we actually work than a longer roll of names ever could.</w:t>
      </w:r>
    </w:p>
    <w:p>
      <w:pPr>
        <w:pStyle w:val="Heading2"/>
      </w:pPr>
      <w:r>
        <w:t>How we are built</w:t>
      </w:r>
    </w:p>
    <w:p>
      <w:r>
        <w:t>The firm is led by Laura Brown, its Managing Partner, and it is deliberately small, close enough to the work that a client's difficult question reaches a partner without first being handed down a chain. That size is a choice and not a phase we are impatient to grow out of, because it lets the people who wrote a finding be the same people who sit in the room and defend it, and that is the only arrangement we have found that reliably keeps the writing honest. Growth, when it comes, will be weighed against that property first, since a firm that outgrows it stops being the firm a general counsel learned to trust.</w:t>
      </w:r>
    </w:p>
    <w:p>
      <w:pPr>
        <w:pStyle w:val="Heading2"/>
      </w:pPr>
      <w:r>
        <w:t>If you are considering us</w:t>
      </w:r>
    </w:p>
    <w:p>
      <w:r>
        <w:t>The clients who get the most from us tend to arrive with a question that has become genuinely uncomfortable, one they need answered in a way they can defend rather than merely repeated back to them in a way that soothes. If that is the position a board or a general counsel finds itself in, it is close to the position this practice was assembled for, and we would welcome the chance to talk it through.</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Laura Brown</dc:creator>
  <cp:keywords/>
  <dc:description>generated by python-docx</dc:description>
  <cp:lastModifiedBy>Laura Brown</cp:lastModifiedBy>
  <cp:revision>1</cp:revision>
  <dcterms:created xsi:type="dcterms:W3CDTF">2023-09-03T09:00:00Z</dcterms:created>
  <dcterms:modified xsi:type="dcterms:W3CDTF">2023-09-03T09:00:00Z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