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James Green, Deborah Gordon</w:t>
        <w:br/>
        <w:t>From: Michael Walker</w:t>
        <w:br/>
        <w:t>Re: Getting the cost transformation for Brown and Sons under way</w:t>
      </w:r>
    </w:p>
    <w:p>
      <w:r>
        <w:t>The purpose of this memo is to fix who owns what before we begin, so that we start in step rather than sort it out on the fly. The engagement commences on June 25, 2009 and runs for roughly seven months; our sponsor on the client side is Sandra Frazier, VP Finance, and I will be the single point of contact with her so that Brown and Sons hears one voice from us.</w:t>
      </w:r>
    </w:p>
    <w:p>
      <w:r>
        <w:t>The aim of the first phase is narrow and worth stating plainly: to build a cost baseline that both sides will accept before anyone argues about what to do with it. Everything that follows, the benchmarking and the read on where cost can responsibly come out, stands on that baseline, so the early weeks are about getting the numbers clean and agreed rather than about reaching a conclusion.</w:t>
      </w:r>
    </w:p>
    <w:p>
      <w:r>
        <w:t>A second point is worth setting down at the outset, which is that we work from the client's ledger and not from its budget, on the understanding that the budget records what the business meant to spend while the ledger records what it actually spent. Where the two diverge is often the most useful thing we find, so keep the divergence rather than smoothing it, and note it plainly in the file where you find it.</w:t>
      </w:r>
    </w:p>
    <w:p>
      <w:pPr>
        <w:pStyle w:val="Heading2"/>
      </w:pPr>
      <w:r>
        <w:t>The work in front of us</w:t>
      </w:r>
    </w:p>
    <w:p>
      <w:pPr>
        <w:pStyle w:val="ListBullet"/>
      </w:pPr>
      <w:r>
        <w:t>Cost baseline. James Green will assemble the combined cost base from the client's general ledger, reconcile it against the departmental allocations so that it ties out, and stand up the model that the rest of the analysis will run on; where a number will not reconcile, flag it rather than force it.</w:t>
      </w:r>
    </w:p>
    <w:p>
      <w:pPr>
        <w:pStyle w:val="ListBullet"/>
      </w:pPr>
      <w:r>
        <w:t>Benchmarking. Deborah Gordon will build the comparator set and the benchmarks against it, keeping every source on file so that any figure we later put in front of the client can be traced back to where it came from, and labeling as provisional anything the comparators do not yet support.</w:t>
      </w:r>
    </w:p>
    <w:p>
      <w:pPr>
        <w:pStyle w:val="ListBullet"/>
      </w:pPr>
      <w:r>
        <w:t>Data and access. I will run the requests for information to Sandra Frazier's team and keep a running index of what has arrived and what is still outstanding, so that neither of you has to chase the client directly and so that our status to her rests on one accurate list.</w:t>
      </w:r>
    </w:p>
    <w:p>
      <w:pPr>
        <w:pStyle w:val="ListBullet"/>
      </w:pPr>
      <w:r>
        <w:t>Working record. From the first week we will keep one shared engagement file, so that our status notes and exhibits draw from a single record and not from anyone's memory of it, and so that the client's own people could rerun the analysis after we have gone.</w:t>
      </w:r>
    </w:p>
    <w:p>
      <w:pPr>
        <w:pStyle w:val="Heading2"/>
      </w:pPr>
      <w:r>
        <w:t>How we start the week</w:t>
      </w:r>
    </w:p>
    <w:p>
      <w:r>
        <w:t>For the coming week the priority is simply access and materials. I will send Brown and Sons the opening request for information on the first day, and I would ask each of you to send me, by the end of the week, the list of documents and contacts your area needs, so that I can fold it into one request to the client rather than several.</w:t>
      </w:r>
    </w:p>
    <w:p>
      <w:r>
        <w:t>James Green, please treat the general-ledger extract and the departmental cost allocations as the two items to press for first, since the model cannot begin without them. Deborah Gordon, you can start the comparator scan in parallel so that we are not idle while the client's data comes in, and I will bring you in on the reconciliation the moment the ledger lands so that the benchmarks are built on numbers we have already checked.</w:t>
      </w:r>
    </w:p>
    <w:p>
      <w:r>
        <w:t>I will circulate the standing check-in schedule once Sandra Frazier and I have agreed a cadence, and I will keep the shared file current so that no one has to ask me twice for the same status. If anything on the client side threatens the timeline, raise it with me early and I will handle it with Sandra Frazier's team; a data pull that slips by a week costs us little if we know about it, and a good deal if we learn of it late.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Cost Transformation for Brown and Sons</dc:title>
  <dc:subject/>
  <dc:creator>Michael Walker</dc:creator>
  <cp:keywords/>
  <dc:description>generated by python-docx</dc:description>
  <cp:lastModifiedBy>Michael Walker</cp:lastModifiedBy>
  <cp:revision>1</cp:revision>
  <dcterms:created xsi:type="dcterms:W3CDTF">2009-06-28T09:00:00Z</dcterms:created>
  <dcterms:modified xsi:type="dcterms:W3CDTF">2009-06-28T09:00:00Z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