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Cost Transformation for Brown and Sons: Progress Report</w:t>
      </w:r>
    </w:p>
    <w:p>
      <w:r>
        <w:t>Prepared by Michael Walker, Engagement Manager, for the finance leadership of Brown and Sons.</w:t>
      </w:r>
    </w:p>
    <w:p>
      <w:r>
        <w:t>The engagement is on schedule and within budget at its midpoint, with the diagnostic work behind us and the sizing of savings now beginning. The cost baseline is built and agreed with your team, the benchmarking that will tell us where Brown and Sons stands against comparable operators is under way, and we are on course to bring you the first sized savings opportunities in the next reporting period. Nothing in the work so far has changed the shape of the assignment we set out at the start.</w:t>
      </w:r>
    </w:p>
    <w:p>
      <w:pPr>
        <w:pStyle w:val="Heading2"/>
      </w:pPr>
      <w:r>
        <w:t>What we completed this period</w:t>
      </w:r>
    </w:p>
    <w:p>
      <w:r>
        <w:t>The baseline cost model is complete, and it is the piece the rest of the analysis now stands on. James Green built it from your general ledger and headcount files down to the level of individual cost pools, reconciled it to your reported figures for the last two full years, and has kept every line traceable back to a source your finance staff already recognize. Where a cost sat in more than one system we agreed a single treatment with your controllers before we closed the number, so the baseline we are working from is one both sides have signed off.</w:t>
      </w:r>
    </w:p>
    <w:p>
      <w:r>
        <w:t>Alongside the baseline we mapped the cost drivers behind the three largest pools, which is where the transformation will earn most of its return. Deborah Gordon has assembled the external benchmarks for those pools and has the comparison roughly two-thirds built; the early read is that two of the three pools run above the comparable range, though I would ask you to treat that as a direction and not yet a finding until the benchmark set is closed. We also held the first round of interviews with your line managers, which surfaced two cost areas that do not show cleanly in the ledger and that we are now tracing back to where they sit.</w:t>
      </w:r>
    </w:p>
    <w:p>
      <w:pPr>
        <w:pStyle w:val="Heading2"/>
      </w:pPr>
      <w:r>
        <w:t>The engagement budget</w:t>
      </w:r>
    </w:p>
    <w:p>
      <w:r>
        <w:t>We remain within the budget for the assignment. The fixed fee of $48,500 covers the full scope of the transformation through to the final recommendations, and our effort to date tracks the plan we set at the outset with no change to that figure in prospect. Should anything in the remaining work look likely to move it, I will raise it with you as soon as it appears.</w:t>
      </w:r>
    </w:p>
    <w:p>
      <w:pPr>
        <w:pStyle w:val="Heading2"/>
      </w:pPr>
      <w:r>
        <w:t>The coming weeks</w:t>
      </w:r>
    </w:p>
    <w:p>
      <w:r>
        <w:t>The next period turns from measuring cost to sizing what can be taken out of it. We will close the benchmarking, convert the gaps it shows into a first set of savings opportunities with a rough value and a rough difficulty against each, and bring that list to you for a working session before we take any of it further. James Green will extend the baseline model so that each opportunity ties back to the cost pool it comes from, and Deborah Gordon will hold the benchmark evidence behind every number we put a value on.</w:t>
      </w:r>
    </w:p>
    <w:p>
      <w:r>
        <w:t>We will also begin the lighter question of how each opportunity would actually be implemented, though only far enough to tell an easy change from a hard one; the detailed design belongs to the later stage of the work and we will not run ahead of the evidence to reach it. I expect to have the sized opportunity list in your hands by the time of the next report.</w:t>
      </w:r>
    </w:p>
    <w:p>
      <w:pPr>
        <w:pStyle w:val="Heading2"/>
      </w:pPr>
      <w:r>
        <w:t>What could move the timeline</w:t>
      </w:r>
    </w:p>
    <w:p>
      <w:r>
        <w:t>One item carries real schedule risk, which is the site-level cost data for the two smaller facilities. We asked for it three weeks ago and have had part of it back; the remainder sits inside a system your team is mid-migration on, and until it arrives the benchmarking for those two sites stays open. It does not hold up the three larger pools, so the critical path is intact, but it would begin to bind if the pull slips much further.</w:t>
      </w:r>
    </w:p>
    <w:p>
      <w:r>
        <w:t>The second risk is smaller and concerns the benchmark comparators rather than your data. Two of the external sources define one of the cost pools differently than your ledger does, and Deborah Gordon is reconciling the definitions before she will let that pool's comparison carry weight; if the reconciliation does not resolve cleanly we will present that pool as a range rather than a single point. Neither risk changes the budget or the shape of the assignment, and I am flagging them now only so that nothing in the next report reaches you as a surprise.</w:t>
      </w:r>
    </w:p>
    <w:p>
      <w:r>
        <w:t>I will send the sized opportunity list and the next status report together, and I am glad to walk any of the above through by telephone before then if it would help.</w:t>
      </w:r>
    </w:p>
    <w:p>
      <w:r>
        <w:t>Michael Walker</w:t>
        <w:br/>
        <w:t>Engagement Manager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Cost Transformation for Brown and Sons</dc:title>
  <dc:subject/>
  <dc:creator>Michael Walker</dc:creator>
  <cp:keywords/>
  <dc:description>generated by python-docx</dc:description>
  <cp:lastModifiedBy>Michael Walker</cp:lastModifiedBy>
  <cp:revision>1</cp:revision>
  <dcterms:created xsi:type="dcterms:W3CDTF">2009-10-12T09:00:00Z</dcterms:created>
  <dcterms:modified xsi:type="dcterms:W3CDTF">2009-10-12T09:00:00Z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