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Deborah Gordon; Brenda Clayton</w:t>
        <w:br/>
        <w:t>From: Cynthia Hart, Research Associate</w:t>
        <w:br/>
        <w:t>Re: Footprint Rationalization for Brown and Sons -- kickoff and plan of work</w:t>
      </w:r>
    </w:p>
    <w:p>
      <w:r>
        <w:t>The engagement opened on July 2, 2017. Our charge is to rationalize the operating footprint of Brown and Sons. That comes down to one question above the rest: does the current network of sites still fit the demand the business has to serve. Sandra Frazier, their VP Finance, is our sponsor. She has asked for choices her own managers can act on, not a study that reads well and then sits on a shelf.</w:t>
      </w:r>
    </w:p>
    <w:p>
      <w:r>
        <w:t>The standard she set should govern how we work. We build to a figure that can be traced, and we mark plainly where the evidence thins out. If we hold to that, the recommendation will survive the first hard look. That is the whole aim of the early weeks, and it is worth saying out loud before the pressure to reach an answer builds.</w:t>
      </w:r>
    </w:p>
    <w:p>
      <w:pPr>
        <w:pStyle w:val="Heading2"/>
      </w:pPr>
      <w:r>
        <w:t>The shape of the work</w:t>
      </w:r>
    </w:p>
    <w:p>
      <w:r>
        <w:t>The work falls into four parts, run in sequence rather than at once. The first is the baseline. We map every site in the footprint, what it costs to hold and to run, and how much of it the business actually uses. A site is judged on that record, not on reputation, and not on how it was described to us.</w:t>
      </w:r>
    </w:p>
    <w:p>
      <w:r>
        <w:t>The second is the cost and utilization picture behind the map. Deborah Gordon owns it. She will set the first site-level data requests to Sandra Frazier's team in the opening week, kept short so we are not held up. What comes back she will benchmark against a comparator set we agree with the client, so that high cost at a site is measured against a like standard rather than an impression of what a site of that kind should cost.</w:t>
      </w:r>
    </w:p>
    <w:p>
      <w:r>
        <w:t>The third is the option work. Brenda Clayton will build the comparisons that test two or three shapes for the network against the baseline. Each option is priced for the cost it releases and the service it puts at risk, and the two are shown together, never one without the other. We do not show an option before the baseline is solid, because an option built on a soft baseline comes apart the first time it meets a fact from the floor.</w:t>
      </w:r>
    </w:p>
    <w:p>
      <w:r>
        <w:t>The fourth is the transition. Once a direction is chosen, we lay out the order in which the client can carry it through without us in the room. That part waits on the rest. It is named here only so the end is in view from the start, since a recommendation the client cannot sequence is not much use to them.</w:t>
      </w:r>
    </w:p>
    <w:p>
      <w:pPr>
        <w:pStyle w:val="Heading2"/>
      </w:pPr>
      <w:r>
        <w:t>The first two weeks</w:t>
      </w:r>
    </w:p>
    <w:p>
      <w:r>
        <w:t>A few things need to close early. Deborah Gordon's first data request should reach Sandra Frazier by the end of week one, kept deliberately narrow so we are not waiting on a long list before we can begin. Brenda Clayton and I will agree the comparator set before it goes out, so the data arrives in a form we can use rather than one we have to rework.</w:t>
      </w:r>
    </w:p>
    <w:p>
      <w:r>
        <w:t>There is also the market context to stand up. I will pull the demand picture for the regions the sites serve, so that when a location looks weak on cost we already know whether the demand behind it is growing or thinning. That read shapes which sites are candidates to consolidate and which are better left alone.</w:t>
      </w:r>
    </w:p>
    <w:p>
      <w:r>
        <w:t>I will circulate a one-page schedule this week, with the client sessions and our own checkpoints marked on it. Please keep the first fortnight light on other commitments so we can set the pace early. If you can see a conflict coming, tell me now, while the dates are still ours to set.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Footprint Rationalization for Brown and Sons</dc:title>
  <dc:subject/>
  <dc:creator>Cynthia Hart</dc:creator>
  <cp:keywords/>
  <dc:description>generated by python-docx</dc:description>
  <cp:lastModifiedBy>Cynthia Hart</cp:lastModifiedBy>
  <cp:revision>1</cp:revision>
  <dcterms:created xsi:type="dcterms:W3CDTF">2017-07-05T09:00:00Z</dcterms:created>
  <dcterms:modified xsi:type="dcterms:W3CDTF">2017-07-05T09:00:00Z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