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 Footprint Rationalization for Brown and Sons</w:t>
      </w:r>
    </w:p>
    <w:p>
      <w:r>
        <w:t>This report covers the engagement's middle stretch and is prepared for the client's finance leadership by Cynthia Hart, on behalf of the team. The work is on plan. The baseline is closed, the cost and utilization picture behind it is built and reconciled, and the option work is under way. Nothing to date has moved the engagement off its schedule or its budget.</w:t>
      </w:r>
    </w:p>
    <w:p>
      <w:pPr>
        <w:pStyle w:val="Heading2"/>
      </w:pPr>
      <w:r>
        <w:t>Where things stand</w:t>
      </w:r>
    </w:p>
    <w:p>
      <w:r>
        <w:t>The engagement is at its midpoint. The picture of the current footprint of Brown and Sons is complete, and the analysis has turned from describing the network to deciding what shape it should take. The work still ahead is the comparison of the options and the plan for carrying the chosen one through.</w:t>
      </w:r>
    </w:p>
    <w:p>
      <w:r>
        <w:t>The pace is steady rather than fast, and deliberately so. A footprint decision is expensive to reverse, so the early weeks were spent making the baseline one that will hold up. That patience is now paying off, because the options rest on measured figures rather than on assumptions.</w:t>
      </w:r>
    </w:p>
    <w:p>
      <w:pPr>
        <w:pStyle w:val="Heading2"/>
      </w:pPr>
      <w:r>
        <w:t>What we have done this period</w:t>
      </w:r>
    </w:p>
    <w:p>
      <w:r>
        <w:t>Deborah Gordon has closed the site-level cost and utilization baseline. It now ties every location to what it costs and how fully it is used, reconciled so that neither side has cause to argue later about a number. Two sites already stand out as high in cost and low in use.</w:t>
      </w:r>
    </w:p>
    <w:p>
      <w:r>
        <w:t>Brenda Clayton has built the first option comparisons on top of that baseline. She is testing three candidate networks rather than two, so that a middle case is weighed on its own terms instead of being assumed away. The early finding is a familiar one: a small number of sites carry cost well out of proportion to the demand they serve.</w:t>
      </w:r>
    </w:p>
    <w:p>
      <w:r>
        <w:t>We also held a working session with your team this period. The main outcome was to carry a service and coverage measure alongside cost for every option. That way no saving is adopted without its effect on service being visible first. The change is already built into the comparisons.</w:t>
      </w:r>
    </w:p>
    <w:p>
      <w:r>
        <w:t>The reconciliation behind that baseline was the slower part of the period. Two sites had reported occupancy and throughput on different bases, and until Brenda Clayton restated them onto one, the figures could not be compared. That work is finished, and it is the reason the option comparisons can now be trusted.</w:t>
      </w:r>
    </w:p>
    <w:p>
      <w:pPr>
        <w:pStyle w:val="Heading2"/>
      </w:pPr>
      <w:r>
        <w:t>What comes next</w:t>
      </w:r>
    </w:p>
    <w:p>
      <w:r>
        <w:t>Over the coming weeks we will finish the option comparisons and narrow the three candidate networks to the one worth planning around. The service measure will sit beside cost in that comparison, so the choice is made on both at once rather than on cost with service considered afterward.</w:t>
      </w:r>
    </w:p>
    <w:p>
      <w:r>
        <w:t>We will bring the narrowed option back to your team in a working session before it is fixed, so the choice is made with you rather than presented to you. The middle case, which saves less but disturbs fewer regions, will be shown on its own terms so that it is a real alternative and not a straw one.</w:t>
      </w:r>
    </w:p>
    <w:p>
      <w:r>
        <w:t>Once a direction is set, we will lay out the sequence in which your team can carry it through. The aim is that the recommendation arrives with a route to acting on it, rather than as a conclusion left on its own.</w:t>
      </w:r>
    </w:p>
    <w:p>
      <w:pPr>
        <w:pStyle w:val="Heading2"/>
      </w:pPr>
      <w:r>
        <w:t>Budget</w:t>
      </w:r>
    </w:p>
    <w:p>
      <w:r>
        <w:t>The engagement remains within its fixed fee of $34,500. That figure covers the team's time through the expected close of the work, and nothing has arisen that would take the assignment beyond the scope the fee was set against. Should anything of that kind appear, we would raise it with you and settle it before acting, as our engagement letter provides.</w:t>
      </w:r>
    </w:p>
    <w:p>
      <w:pPr>
        <w:pStyle w:val="Heading2"/>
      </w:pPr>
      <w:r>
        <w:t>What could still get in the way</w:t>
      </w:r>
    </w:p>
    <w:p>
      <w:r>
        <w:t>Two risks are worth naming while they are still small. The first is the throughput detail behind a handful of sites, which is thinner than the rest and could soften the service comparison if it does not firm up. We have asked your team for the underlying figures and expect them shortly.</w:t>
      </w:r>
    </w:p>
    <w:p>
      <w:r>
        <w:t>The second is the reserve case, the option that holds more capacity against future demand. It rests on a demand read that is not yet settled. We are firming up that read now, and we will not lean on the reserve case until the evidence behind it will bear the weight.</w:t>
      </w:r>
    </w:p>
    <w:p>
      <w:r>
        <w:t>On balance the engagement is where it should be at the halfway mark, with the current footprint understood and the options taking shape. We will come back to you with the narrowed option and its trade-offs before any direction is fixed.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Footprint Rationalization for Brown and Sons</dc:title>
  <dc:subject/>
  <dc:creator>Cynthia Hart</dc:creator>
  <cp:keywords/>
  <dc:description>generated by python-docx</dc:description>
  <cp:lastModifiedBy>Cynthia Hart</cp:lastModifiedBy>
  <cp:revision>1</cp:revision>
  <dcterms:created xsi:type="dcterms:W3CDTF">2017-10-11T09:00:00Z</dcterms:created>
  <dcterms:modified xsi:type="dcterms:W3CDTF">2017-10-11T09:00:00Z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