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Working Session on the Cost Transformation for Brown and Sons</w:t>
      </w:r>
    </w:p>
    <w:p>
      <w:r>
        <w:t>These are the minutes of the working session we held with the client team to walk the emerging cost baseline and to agree what we would test next. We are roughly at the midpoint of the engagement, and the session was meant less to settle anything than to make sure the two sides are working from the same numbers before we turn to what can come out of them.</w:t>
      </w:r>
    </w:p>
    <w:p>
      <w:pPr>
        <w:pStyle w:val="Heading2"/>
      </w:pPr>
      <w:r>
        <w:t>Present</w:t>
      </w:r>
    </w:p>
    <w:p>
      <w:pPr>
        <w:pStyle w:val="ListBullet"/>
      </w:pPr>
      <w:r>
        <w:t>Michael Walker, Engagement Manager, Calderwood Partners</w:t>
      </w:r>
    </w:p>
    <w:p>
      <w:pPr>
        <w:pStyle w:val="ListBullet"/>
      </w:pPr>
      <w:r>
        <w:t>James Green, Senior Associate, Calderwood Partners</w:t>
      </w:r>
    </w:p>
    <w:p>
      <w:pPr>
        <w:pStyle w:val="ListBullet"/>
      </w:pPr>
      <w:r>
        <w:t>Deborah Gordon, Associate, Calderwood Partners</w:t>
      </w:r>
    </w:p>
    <w:p>
      <w:pPr>
        <w:pStyle w:val="ListBullet"/>
      </w:pPr>
      <w:r>
        <w:t>Sandra Frazier, VP Finance, Brown and Sons</w:t>
      </w:r>
    </w:p>
    <w:p>
      <w:pPr>
        <w:pStyle w:val="Heading2"/>
      </w:pPr>
      <w:r>
        <w:t>What we discussed</w:t>
      </w:r>
    </w:p>
    <w:p>
      <w:r>
        <w:t>Michael Walker opened by reminding us where the work stands, and Mike was careful to keep the analysis and any recommendation clearly apart, on the view that Brown and Sons should agree the facts before anyone is asked to agree what to do about them. James Green then walked the group through the reconciled baseline, which now ties out against the departmental allocations, and noted the handful of allocations still being settled between the two finance teams. He was clear that the baseline should be treated as firm everywhere except in those few lines, which he has marked in the file so that no one builds on them before they are closed.</w:t>
      </w:r>
    </w:p>
    <w:p>
      <w:r>
        <w:t>I took the group through the benchmarking as it stands, and we spent most of the session on where the comparators suggest cost has settled without buying the business anything. We were careful not to overstate what the comparators show, since the sample is still being filled out, and I flagged the two functions where our read is firmest and the one where it is not yet firm at all. Sandra Frazier was helpful in cautioning us that a share of the apparent duplication reflects commitments that cannot be unwound quickly, and we agreed that our read on savings should keep what can be realized in the near term separate from what depends on those commitments running their course.</w:t>
      </w:r>
    </w:p>
    <w:p>
      <w:r>
        <w:t>We closed the discussion by naming the questions the second half of the work turns on, which are the order in which cost can responsibly come out, the savings that can be relied upon as against those that are merely nominal, and the safeguards that keep the parts of the business that are working from being disturbed while we proceed. Nothing was presented as settled, and we agreed to hold that line until both finance teams have signed off on the figures beneath it.</w:t>
      </w:r>
    </w:p>
    <w:p>
      <w:pPr>
        <w:pStyle w:val="Heading2"/>
      </w:pPr>
      <w:r>
        <w:t>What we agreed to do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w:t>
            </w:r>
          </w:p>
        </w:tc>
      </w:tr>
      <w:tr>
        <w:tc>
          <w:tcPr>
            <w:tcW w:type="dxa" w:w="2880"/>
          </w:tcPr>
          <w:p>
            <w:r>
              <w:t>Close the remaining cost allocations with the two finance teams and lock the reconciled baseline</w:t>
            </w:r>
          </w:p>
        </w:tc>
        <w:tc>
          <w:tcPr>
            <w:tcW w:type="dxa" w:w="2880"/>
          </w:tcPr>
          <w:p>
            <w:r>
              <w:t>James Green</w:t>
            </w:r>
          </w:p>
        </w:tc>
        <w:tc>
          <w:tcPr>
            <w:tcW w:type="dxa" w:w="2880"/>
          </w:tcPr>
          <w:p>
            <w:r>
              <w:t>This week</w:t>
            </w:r>
          </w:p>
        </w:tc>
      </w:tr>
      <w:tr>
        <w:tc>
          <w:tcPr>
            <w:tcW w:type="dxa" w:w="2880"/>
          </w:tcPr>
          <w:p>
            <w:r>
              <w:t>Finish the benchmarking and draft the first read on addressable cost, with near-term savings kept separate from committed spend</w:t>
            </w:r>
          </w:p>
        </w:tc>
        <w:tc>
          <w:tcPr>
            <w:tcW w:type="dxa" w:w="2880"/>
          </w:tcPr>
          <w:p>
            <w:r>
              <w:t>Deborah Gordon</w:t>
            </w:r>
          </w:p>
        </w:tc>
        <w:tc>
          <w:tcPr>
            <w:tcW w:type="dxa" w:w="2880"/>
          </w:tcPr>
          <w:p>
            <w:r>
              <w:t>Next session</w:t>
            </w:r>
          </w:p>
        </w:tc>
      </w:tr>
      <w:tr>
        <w:tc>
          <w:tcPr>
            <w:tcW w:type="dxa" w:w="2880"/>
          </w:tcPr>
          <w:p>
            <w:r>
              <w:t>Confirm the finance owner for the allocation sign-off and flag any commitments that cannot be unwound quickly</w:t>
            </w:r>
          </w:p>
        </w:tc>
        <w:tc>
          <w:tcPr>
            <w:tcW w:type="dxa" w:w="2880"/>
          </w:tcPr>
          <w:p>
            <w:r>
              <w:t>Sandra Frazier</w:t>
            </w:r>
          </w:p>
        </w:tc>
        <w:tc>
          <w:tcPr>
            <w:tcW w:type="dxa" w:w="2880"/>
          </w:tcPr>
          <w:p>
            <w:r>
              <w:t>This week</w:t>
            </w:r>
          </w:p>
        </w:tc>
      </w:tr>
      <w:tr>
        <w:tc>
          <w:tcPr>
            <w:tcW w:type="dxa" w:w="2880"/>
          </w:tcPr>
          <w:p>
            <w:r>
              <w:t>Set the next working session and agree the agenda with the client</w:t>
            </w:r>
          </w:p>
        </w:tc>
        <w:tc>
          <w:tcPr>
            <w:tcW w:type="dxa" w:w="2880"/>
          </w:tcPr>
          <w:p>
            <w:r>
              <w:t>Michael Walker</w:t>
            </w:r>
          </w:p>
        </w:tc>
        <w:tc>
          <w:tcPr>
            <w:tcW w:type="dxa" w:w="2880"/>
          </w:tcPr>
          <w:p>
            <w:r>
              <w:t>Next session</w:t>
            </w:r>
          </w:p>
        </w:tc>
      </w:tr>
    </w:tbl>
    <w:p>
      <w:r>
        <w:t>The next working session will be set once the savings read is drafted, and our single next step is to get the outstanding allocations closed this week so that the baseline can be locked. These minutes will stand as the record of what we agreed unless a correction reaches me within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Cost Transformation for Brown and Sons</dc:title>
  <dc:subject/>
  <dc:creator>Deborah Gordon</dc:creator>
  <cp:keywords/>
  <dc:description>generated by python-docx</dc:description>
  <cp:lastModifiedBy>Deborah Gordon</cp:lastModifiedBy>
  <cp:revision>1</cp:revision>
  <dcterms:created xsi:type="dcterms:W3CDTF">2009-09-21T09:00:00Z</dcterms:created>
  <dcterms:modified xsi:type="dcterms:W3CDTF">2009-09-21T09:00:00Z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