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Cost Transformation for Brown and Sons</w:t>
      </w:r>
    </w:p>
    <w:p>
      <w:r>
        <w:t>These are the minutes of the working session we held with the client on the cost transformation, recorded by Deborah Gordon. I have kept them to what we discussed and what each of us agreed to carry forward, and where a figure was still being reconciled in the room I have marked it as such rather than let it read as settled.</w:t>
      </w:r>
    </w:p>
    <w:p>
      <w:pPr>
        <w:pStyle w:val="Heading2"/>
      </w:pPr>
      <w:r>
        <w:t>In attendance</w:t>
      </w:r>
    </w:p>
    <w:p>
      <w:pPr>
        <w:pStyle w:val="ListBullet"/>
      </w:pPr>
      <w:r>
        <w:t>Michael Walker, Engagement Manager</w:t>
      </w:r>
    </w:p>
    <w:p>
      <w:pPr>
        <w:pStyle w:val="ListBullet"/>
      </w:pPr>
      <w:r>
        <w:t>James Green, Senior Associate</w:t>
      </w:r>
    </w:p>
    <w:p>
      <w:pPr>
        <w:pStyle w:val="ListBullet"/>
      </w:pPr>
      <w:r>
        <w:t>Deborah Gordon, Associate</w:t>
      </w:r>
    </w:p>
    <w:p>
      <w:pPr>
        <w:pStyle w:val="ListBullet"/>
      </w:pPr>
      <w:r>
        <w:t>Sandra Frazier, VP Finance, Brown and Sons</w:t>
      </w:r>
    </w:p>
    <w:p>
      <w:pPr>
        <w:pStyle w:val="Heading2"/>
      </w:pPr>
      <w:r>
        <w:t>The savings picture as it stands</w:t>
      </w:r>
    </w:p>
    <w:p>
      <w:r>
        <w:t>We opened on the near-final view of the savings, and the picture has firmed up considerably since we last sat down together. James Green took the group through the model, and across the three largest cost pools the opportunities now carry a value and a difficulty rating that both sides have had the chance to test; Sandra Frazier pushed hardest on the largest of the three, and after walking the assumptions we agreed the number there holds. The one figure I have left open is the site-level saving for the smaller of the two facilities, which still rests on the partial data pull and which I will not call final until the remainder arrives.</w:t>
      </w:r>
    </w:p>
    <w:p>
      <w:pPr>
        <w:pStyle w:val="Heading2"/>
      </w:pPr>
      <w:r>
        <w:t>Benchmarks and the one open reconciliation</w:t>
      </w:r>
    </w:p>
    <w:p>
      <w:r>
        <w:t>On the benchmarking, we walked through the comparison for each pool and where the client sits against it, and Sandra Frazier asked us to add one further comparator for the procurement pool so that the range does not rest on two sources alone. We agreed that this is a reasonable ask and that it does not change the direction of the finding, only the confidence we can put on its edges; everything else in the benchmark set is now closed.</w:t>
      </w:r>
    </w:p>
    <w:p>
      <w:pPr>
        <w:pStyle w:val="Heading2"/>
      </w:pPr>
      <w:r>
        <w:t>Sequencing the initiatives</w:t>
      </w:r>
    </w:p>
    <w:p>
      <w:r>
        <w:t>Much of our time went to the order in which the initiatives should be taken, since we are close enough to the final recommendations that the sequence now matters as much as the list itself. We grouped the opportunities into those the client can begin on its own account and those that need a decision from the top first, and Sandra Frazier asked that the early group be ones her team can show a result from quickly, so that the effort has visible support behind it before the harder changes begin. Michael Walker agreed to reflect that grouping in the roadmap that goes into the final material.</w:t>
      </w:r>
    </w:p>
    <w:p>
      <w:pPr>
        <w:pStyle w:val="Heading2"/>
      </w:pPr>
      <w:r>
        <w:t>The shape of the final material</w:t>
      </w:r>
    </w:p>
    <w:p>
      <w:r>
        <w:t>We closed the substance of the session on the deliverable itself, which we are now near enough to begin drafting in earnest. We agreed it will lead with the savings by pool and the sequenced roadmap, carry the benchmark evidence in support behind each number, and set out plainly which savings the client can act on at once and which wait on a decision; Sandra Frazier asked that the document be one she can put in front of her own leadership without translation, and we took that as the standard to write to.</w:t>
      </w:r>
    </w:p>
    <w:p>
      <w:pPr>
        <w:pStyle w:val="Heading2"/>
      </w:pPr>
      <w:r>
        <w:t>What each of us is carrying forward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By</w:t>
            </w:r>
          </w:p>
        </w:tc>
      </w:tr>
      <w:tr>
        <w:tc>
          <w:tcPr>
            <w:tcW w:type="dxa" w:w="2880"/>
          </w:tcPr>
          <w:p>
            <w:r>
              <w:t>Add a third procurement comparator and close the benchmark range</w:t>
            </w:r>
          </w:p>
        </w:tc>
        <w:tc>
          <w:tcPr>
            <w:tcW w:type="dxa" w:w="2880"/>
          </w:tcPr>
          <w:p>
            <w:r>
              <w:t>Deborah Gordon</w:t>
            </w:r>
          </w:p>
        </w:tc>
        <w:tc>
          <w:tcPr>
            <w:tcW w:type="dxa" w:w="2880"/>
          </w:tcPr>
          <w:p>
            <w:r>
              <w:t>End of the week</w:t>
            </w:r>
          </w:p>
        </w:tc>
      </w:tr>
      <w:tr>
        <w:tc>
          <w:tcPr>
            <w:tcW w:type="dxa" w:w="2880"/>
          </w:tcPr>
          <w:p>
            <w:r>
              <w:t>Fold the agreed sequence into the initiative roadmap</w:t>
            </w:r>
          </w:p>
        </w:tc>
        <w:tc>
          <w:tcPr>
            <w:tcW w:type="dxa" w:w="2880"/>
          </w:tcPr>
          <w:p>
            <w:r>
              <w:t>Michael Walker</w:t>
            </w:r>
          </w:p>
        </w:tc>
        <w:tc>
          <w:tcPr>
            <w:tcW w:type="dxa" w:w="2880"/>
          </w:tcPr>
          <w:p>
            <w:r>
              <w:t>Next working session</w:t>
            </w:r>
          </w:p>
        </w:tc>
      </w:tr>
      <w:tr>
        <w:tc>
          <w:tcPr>
            <w:tcW w:type="dxa" w:w="2880"/>
          </w:tcPr>
          <w:p>
            <w:r>
              <w:t>Finalize the site saving once the outstanding data pull lands</w:t>
            </w:r>
          </w:p>
        </w:tc>
        <w:tc>
          <w:tcPr>
            <w:tcW w:type="dxa" w:w="2880"/>
          </w:tcPr>
          <w:p>
            <w:r>
              <w:t>James Green</w:t>
            </w:r>
          </w:p>
        </w:tc>
        <w:tc>
          <w:tcPr>
            <w:tcW w:type="dxa" w:w="2880"/>
          </w:tcPr>
          <w:p>
            <w:r>
              <w:t>On receipt of the data</w:t>
            </w:r>
          </w:p>
        </w:tc>
      </w:tr>
      <w:tr>
        <w:tc>
          <w:tcPr>
            <w:tcW w:type="dxa" w:w="2880"/>
          </w:tcPr>
          <w:p>
            <w:r>
              <w:t>Send the remaining site-level cost file for the second facility</w:t>
            </w:r>
          </w:p>
        </w:tc>
        <w:tc>
          <w:tcPr>
            <w:tcW w:type="dxa" w:w="2880"/>
          </w:tcPr>
          <w:p>
            <w:r>
              <w:t>Sandra Frazier</w:t>
            </w:r>
          </w:p>
        </w:tc>
        <w:tc>
          <w:tcPr>
            <w:tcW w:type="dxa" w:w="2880"/>
          </w:tcPr>
          <w:p>
            <w:r>
              <w:t>As soon as the migration allows</w:t>
            </w:r>
          </w:p>
        </w:tc>
      </w:tr>
    </w:tbl>
    <w:p>
      <w:r>
        <w:t>Our next step is the third procurement comparator, which I will have in hand by the end of the week; once it is closed we can hold the recommendations steady and turn the whole of our attention to assembling the final material.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Cost Transformation for Brown and Sons</dc:title>
  <dc:subject/>
  <dc:creator>Deborah Gordon</dc:creator>
  <cp:keywords/>
  <dc:description>generated by python-docx</dc:description>
  <cp:lastModifiedBy>Deborah Gordon</cp:lastModifiedBy>
  <cp:revision>1</cp:revision>
  <dcterms:created xsi:type="dcterms:W3CDTF">2009-12-18T09:00:00Z</dcterms:created>
  <dcterms:modified xsi:type="dcterms:W3CDTF">2009-12-18T09:00:00Z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