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 Footprint Rationalization for Brown and Sons</w:t>
      </w:r>
    </w:p>
    <w:p>
      <w:r>
        <w:t>The session settled one thing that sets up the rest: we will carry three candidate networks into the option review, not two, because the middle case splits the difference in a way the client wants tested on its own. The site baseline is closed. The cost and utilization picture is built and reconciled to it. What follows records who was present, what we covered, and who owns each next step.</w:t>
      </w:r>
    </w:p>
    <w:p>
      <w:pPr>
        <w:pStyle w:val="Heading2"/>
      </w:pPr>
      <w:r>
        <w:t>Present</w:t>
      </w:r>
    </w:p>
    <w:p>
      <w:pPr>
        <w:pStyle w:val="ListBullet"/>
      </w:pPr>
      <w:r>
        <w:t>Brenda Clayton, Consultant</w:t>
      </w:r>
    </w:p>
    <w:p>
      <w:pPr>
        <w:pStyle w:val="ListBullet"/>
      </w:pPr>
      <w:r>
        <w:t>Cynthia Hart, Research Associate</w:t>
      </w:r>
    </w:p>
    <w:p>
      <w:pPr>
        <w:pStyle w:val="ListBullet"/>
      </w:pPr>
      <w:r>
        <w:t>Deborah Gordon, Senior Associate</w:t>
      </w:r>
    </w:p>
    <w:p>
      <w:pPr>
        <w:pStyle w:val="ListBullet"/>
      </w:pPr>
      <w:r>
        <w:t>Sandra Frazier, VP Finance, Brown and Sons</w:t>
      </w:r>
    </w:p>
    <w:p>
      <w:pPr>
        <w:pStyle w:val="Heading2"/>
      </w:pPr>
      <w:r>
        <w:t>Where the baseline landed</w:t>
      </w:r>
    </w:p>
    <w:p>
      <w:r>
        <w:t>Deborah Gordon walked the closed baseline. Every site is now tied to what it costs, how fully it is used, and the part it plays in serving demand. Two locations stand out. Both sit near the top of the network on cost and run well below half their capacity. Nothing in the data argues for keeping either of them as it is.</w:t>
      </w:r>
    </w:p>
    <w:p>
      <w:r>
        <w:t>The reconciliation took longer than the map, which was expected. Two sites reported occupancy and throughput on different bases, so the raw figures were not comparable until Brenda Clayton restated them onto one. That is done, and the baseline now holds together well enough to build options on.</w:t>
      </w:r>
    </w:p>
    <w:p>
      <w:pPr>
        <w:pStyle w:val="Heading2"/>
      </w:pPr>
      <w:r>
        <w:t>The options on the table</w:t>
      </w:r>
    </w:p>
    <w:p>
      <w:r>
        <w:t>Brenda Clayton set out the three candidate networks. The first consolidates the two weak sites into the nearest hub. The second goes further and relocates a third. The third holds more capacity in reserve, against demand that Cynthia Hart's market read says is not yet settled. Each network is priced for the cost it releases and the service it puts at risk, so the review can weigh them on the same terms.</w:t>
      </w:r>
    </w:p>
    <w:p>
      <w:r>
        <w:t>The middle case is the one the client asked us to keep. It saves less than the fuller consolidation but disturbs fewer served regions, and Sandra Frazier wanted that trade set out on its own rather than folded into the two extremes. Carrying three networks costs us little now and saves a round of rework later if the review lands between the ends.</w:t>
      </w:r>
    </w:p>
    <w:p>
      <w:pPr>
        <w:pStyle w:val="Heading2"/>
      </w:pPr>
      <w:r>
        <w:t>What the client pressed on</w:t>
      </w:r>
    </w:p>
    <w:p>
      <w:r>
        <w:t>Sandra Frazier pushed hardest on service. She has seen footprint cuts that looked clean on a map and cost the business a customer the next quarter. We agreed to carry a service and coverage measure alongside cost for every option, so a saving that comes at the price of coverage is visible before anyone commits to it.</w:t>
      </w:r>
    </w:p>
    <w:p>
      <w:r>
        <w:t>She also asked that the numbers be ones her own team can rerun after we leave. That is already the standard we work to, and we confirmed it. Deborah Gordon will hand over the baseline in the form the client's finance team keeps its own data, so nothing has to be translated to be checked.</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Owner</w:t>
            </w:r>
          </w:p>
        </w:tc>
        <w:tc>
          <w:tcPr>
            <w:tcW w:type="dxa" w:w="2880"/>
          </w:tcPr>
          <w:p>
            <w:r>
              <w:rPr>
                <w:b/>
              </w:rPr>
              <w:t>Action</w:t>
            </w:r>
          </w:p>
        </w:tc>
        <w:tc>
          <w:tcPr>
            <w:tcW w:type="dxa" w:w="2880"/>
          </w:tcPr>
          <w:p>
            <w:r>
              <w:rPr>
                <w:b/>
              </w:rPr>
              <w:t>By when</w:t>
            </w:r>
          </w:p>
        </w:tc>
      </w:tr>
      <w:tr>
        <w:tc>
          <w:tcPr>
            <w:tcW w:type="dxa" w:w="2880"/>
          </w:tcPr>
          <w:p>
            <w:r>
              <w:t>Deborah Gordon</w:t>
            </w:r>
          </w:p>
        </w:tc>
        <w:tc>
          <w:tcPr>
            <w:tcW w:type="dxa" w:w="2880"/>
          </w:tcPr>
          <w:p>
            <w:r>
              <w:t>Add a service and coverage measure to each of the three candidate networks and reconcile it to the cost picture</w:t>
            </w:r>
          </w:p>
        </w:tc>
        <w:tc>
          <w:tcPr>
            <w:tcW w:type="dxa" w:w="2880"/>
          </w:tcPr>
          <w:p>
            <w:r>
              <w:t>Two weeks</w:t>
            </w:r>
          </w:p>
        </w:tc>
      </w:tr>
      <w:tr>
        <w:tc>
          <w:tcPr>
            <w:tcW w:type="dxa" w:w="2880"/>
          </w:tcPr>
          <w:p>
            <w:r>
              <w:t>Brenda Clayton</w:t>
            </w:r>
          </w:p>
        </w:tc>
        <w:tc>
          <w:tcPr>
            <w:tcW w:type="dxa" w:w="2880"/>
          </w:tcPr>
          <w:p>
            <w:r>
              <w:t>Rebuild the option comparisons to show cost and service side by side for Brown and Sons</w:t>
            </w:r>
          </w:p>
        </w:tc>
        <w:tc>
          <w:tcPr>
            <w:tcW w:type="dxa" w:w="2880"/>
          </w:tcPr>
          <w:p>
            <w:r>
              <w:t>Two weeks</w:t>
            </w:r>
          </w:p>
        </w:tc>
      </w:tr>
      <w:tr>
        <w:tc>
          <w:tcPr>
            <w:tcW w:type="dxa" w:w="2880"/>
          </w:tcPr>
          <w:p>
            <w:r>
              <w:t>Cynthia Hart</w:t>
            </w:r>
          </w:p>
        </w:tc>
        <w:tc>
          <w:tcPr>
            <w:tcW w:type="dxa" w:w="2880"/>
          </w:tcPr>
          <w:p>
            <w:r>
              <w:t>Firm up the demand read behind the reserve case so the third option rests on evidence, not caution</w:t>
            </w:r>
          </w:p>
        </w:tc>
        <w:tc>
          <w:tcPr>
            <w:tcW w:type="dxa" w:w="2880"/>
          </w:tcPr>
          <w:p>
            <w:r>
              <w:t>Two weeks</w:t>
            </w:r>
          </w:p>
        </w:tc>
      </w:tr>
      <w:tr>
        <w:tc>
          <w:tcPr>
            <w:tcW w:type="dxa" w:w="2880"/>
          </w:tcPr>
          <w:p>
            <w:r>
              <w:t>Sandra Frazier</w:t>
            </w:r>
          </w:p>
        </w:tc>
        <w:tc>
          <w:tcPr>
            <w:tcW w:type="dxa" w:w="2880"/>
          </w:tcPr>
          <w:p>
            <w:r>
              <w:t>Confirm the two facility managers for the option review and clear access to the throughput detail</w:t>
            </w:r>
          </w:p>
        </w:tc>
        <w:tc>
          <w:tcPr>
            <w:tcW w:type="dxa" w:w="2880"/>
          </w:tcPr>
          <w:p>
            <w:r>
              <w:t>Within one week</w:t>
            </w:r>
          </w:p>
        </w:tc>
      </w:tr>
    </w:tbl>
    <w:p>
      <w:r>
        <w:t>The next fixed point is the option review. Once the service measure is in, we compare the three networks in one sitting and narrow to the one worth planning a transition around.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Footprint Rationalization for Brown and Sons</dc:title>
  <dc:subject/>
  <dc:creator>Brenda Clayton</dc:creator>
  <cp:keywords/>
  <dc:description>generated by python-docx</dc:description>
  <cp:lastModifiedBy>Brenda Clayton</cp:lastModifiedBy>
  <cp:revision>1</cp:revision>
  <dcterms:created xsi:type="dcterms:W3CDTF">2017-09-21T09:00:00Z</dcterms:created>
  <dcterms:modified xsi:type="dcterms:W3CDTF">2017-09-21T09:00:00Z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