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 Footprint Rationalization for Brown and Sons</w:t>
      </w:r>
    </w:p>
    <w:p>
      <w:r>
        <w:t>The session closed on the recommendation: consolidate the two weakest sites into the regional hub, and hold the third under review for a year rather than move it now. The service measure held up under the client's questions. What remains is the transition plan and the final report. These minutes record who attended, what was decided, and who carries each remaining task.</w:t>
      </w:r>
    </w:p>
    <w:p>
      <w:pPr>
        <w:pStyle w:val="Heading2"/>
      </w:pPr>
      <w:r>
        <w:t>Present</w:t>
      </w:r>
    </w:p>
    <w:p>
      <w:pPr>
        <w:pStyle w:val="ListBullet"/>
      </w:pPr>
      <w:r>
        <w:t>Brenda Clayton, Consultant</w:t>
      </w:r>
    </w:p>
    <w:p>
      <w:pPr>
        <w:pStyle w:val="ListBullet"/>
      </w:pPr>
      <w:r>
        <w:t>Cynthia Hart, Research Associate</w:t>
      </w:r>
    </w:p>
    <w:p>
      <w:pPr>
        <w:pStyle w:val="ListBullet"/>
      </w:pPr>
      <w:r>
        <w:t>Deborah Gordon, Senior Associate</w:t>
      </w:r>
    </w:p>
    <w:p>
      <w:pPr>
        <w:pStyle w:val="ListBullet"/>
      </w:pPr>
      <w:r>
        <w:t>Sandra Frazier, VP Finance, Brown and Sons</w:t>
      </w:r>
    </w:p>
    <w:p>
      <w:pPr>
        <w:pStyle w:val="Heading2"/>
      </w:pPr>
      <w:r>
        <w:t>The recommendation</w:t>
      </w:r>
    </w:p>
    <w:p>
      <w:r>
        <w:t>Deborah Gordon presented the final comparison. Consolidating the two high-cost, low-use sites into the regional hub releases the most cost while leaving service coverage intact on the measure we agreed. Relocating the third site saves less and puts a served region at risk, so we do not recommend it now. Holding it under review for a year keeps the option open without paying to exercise it.</w:t>
      </w:r>
    </w:p>
    <w:p>
      <w:r>
        <w:t>The three networks were shown side by side, cost and service together. The recommended one is not the deepest cut; it is the one where the saving does not come at the expense of a region the business still serves. Deborah Gordon was clear that the fuller consolidation looks better on cost alone, and worse the moment service is put next to it.</w:t>
      </w:r>
    </w:p>
    <w:p>
      <w:pPr>
        <w:pStyle w:val="Heading2"/>
      </w:pPr>
      <w:r>
        <w:t>Where the client pushed</w:t>
      </w:r>
    </w:p>
    <w:p>
      <w:r>
        <w:t>Sandra Frazier tested the service case hard, as she has throughout. She wanted to know whether the hub can absorb the consolidated volume without a fall in service. The utilization figures say it can, with room to spare, and Brenda Clayton walked the numbers behind that.</w:t>
      </w:r>
    </w:p>
    <w:p>
      <w:r>
        <w:t>Cynthia Hart added that the demand read for the third site is still soft, which is the reason it stays under review rather than moving. Sandra Frazier accepted that, on the condition that the review has a date and an owner rather than being left open indefinitely. We agreed to fix both in the transition plan.</w:t>
      </w:r>
    </w:p>
    <w:p>
      <w:pPr>
        <w:pStyle w:val="Heading2"/>
      </w:pPr>
      <w:r>
        <w:t>Transition</w:t>
      </w:r>
    </w:p>
    <w:p>
      <w:r>
        <w:t>We agreed the transition matters as much as the recommendation itself. Brown and Sons will carry out any consolidation with its own people, so the plan has to be one the client's team can run. Deborah Gordon will set out the sequence and the timing. Brenda Clayton will attach the cost and service effect to each step, so the client can see what each move buys and what it risks before committing to it.</w:t>
      </w:r>
    </w:p>
    <w:p>
      <w:r>
        <w:t>The order of steps was discussed but not fixed. The sense in the room was to move the smaller of the two sites first, learn from it, and carry what is learned into the larger move rather than run both at once. Sandra Frazier preferred that to a single switch, on the ground that a staged move is easier to stop or slow if service shows any strain.</w:t>
      </w:r>
    </w:p>
    <w:p>
      <w:pPr>
        <w:pStyle w:val="Heading2"/>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Owner</w:t>
            </w:r>
          </w:p>
        </w:tc>
        <w:tc>
          <w:tcPr>
            <w:tcW w:type="dxa" w:w="2880"/>
          </w:tcPr>
          <w:p>
            <w:r>
              <w:rPr>
                <w:b/>
              </w:rPr>
              <w:t>Action</w:t>
            </w:r>
          </w:p>
        </w:tc>
        <w:tc>
          <w:tcPr>
            <w:tcW w:type="dxa" w:w="2880"/>
          </w:tcPr>
          <w:p>
            <w:r>
              <w:rPr>
                <w:b/>
              </w:rPr>
              <w:t>By when</w:t>
            </w:r>
          </w:p>
        </w:tc>
      </w:tr>
      <w:tr>
        <w:tc>
          <w:tcPr>
            <w:tcW w:type="dxa" w:w="2880"/>
          </w:tcPr>
          <w:p>
            <w:r>
              <w:t>Deborah Gordon</w:t>
            </w:r>
          </w:p>
        </w:tc>
        <w:tc>
          <w:tcPr>
            <w:tcW w:type="dxa" w:w="2880"/>
          </w:tcPr>
          <w:p>
            <w:r>
              <w:t>Draft the transition sequence for the hub consolidation, with timing for each step</w:t>
            </w:r>
          </w:p>
        </w:tc>
        <w:tc>
          <w:tcPr>
            <w:tcW w:type="dxa" w:w="2880"/>
          </w:tcPr>
          <w:p>
            <w:r>
              <w:t>Two weeks</w:t>
            </w:r>
          </w:p>
        </w:tc>
      </w:tr>
      <w:tr>
        <w:tc>
          <w:tcPr>
            <w:tcW w:type="dxa" w:w="2880"/>
          </w:tcPr>
          <w:p>
            <w:r>
              <w:t>Brenda Clayton</w:t>
            </w:r>
          </w:p>
        </w:tc>
        <w:tc>
          <w:tcPr>
            <w:tcW w:type="dxa" w:w="2880"/>
          </w:tcPr>
          <w:p>
            <w:r>
              <w:t>Attach the cost and service effect to each step of the transition and finalize the exhibits</w:t>
            </w:r>
          </w:p>
        </w:tc>
        <w:tc>
          <w:tcPr>
            <w:tcW w:type="dxa" w:w="2880"/>
          </w:tcPr>
          <w:p>
            <w:r>
              <w:t>Two weeks</w:t>
            </w:r>
          </w:p>
        </w:tc>
      </w:tr>
      <w:tr>
        <w:tc>
          <w:tcPr>
            <w:tcW w:type="dxa" w:w="2880"/>
          </w:tcPr>
          <w:p>
            <w:r>
              <w:t>Cynthia Hart</w:t>
            </w:r>
          </w:p>
        </w:tc>
        <w:tc>
          <w:tcPr>
            <w:tcW w:type="dxa" w:w="2880"/>
          </w:tcPr>
          <w:p>
            <w:r>
              <w:t>Write the demand note that supports holding the third site under review for a year</w:t>
            </w:r>
          </w:p>
        </w:tc>
        <w:tc>
          <w:tcPr>
            <w:tcW w:type="dxa" w:w="2880"/>
          </w:tcPr>
          <w:p>
            <w:r>
              <w:t>Two weeks</w:t>
            </w:r>
          </w:p>
        </w:tc>
      </w:tr>
      <w:tr>
        <w:tc>
          <w:tcPr>
            <w:tcW w:type="dxa" w:w="2880"/>
          </w:tcPr>
          <w:p>
            <w:r>
              <w:t>Sandra Frazier</w:t>
            </w:r>
          </w:p>
        </w:tc>
        <w:tc>
          <w:tcPr>
            <w:tcW w:type="dxa" w:w="2880"/>
          </w:tcPr>
          <w:p>
            <w:r>
              <w:t>Confirm the internal owners on the client side who will run the consolidation</w:t>
            </w:r>
          </w:p>
        </w:tc>
        <w:tc>
          <w:tcPr>
            <w:tcW w:type="dxa" w:w="2880"/>
          </w:tcPr>
          <w:p>
            <w:r>
              <w:t>Within two weeks</w:t>
            </w:r>
          </w:p>
        </w:tc>
      </w:tr>
    </w:tbl>
    <w:p>
      <w:r>
        <w:t>The next step is the transition plan. With the recommendation settled, the remaining work is to make it something the client can act on, and to set that down in the final report.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Footprint Rationalization for Brown and Sons</dc:title>
  <dc:subject/>
  <dc:creator>Brenda Clayton</dc:creator>
  <cp:keywords/>
  <dc:description>generated by python-docx</dc:description>
  <cp:lastModifiedBy>Brenda Clayton</cp:lastModifiedBy>
  <cp:revision>1</cp:revision>
  <dcterms:created xsi:type="dcterms:W3CDTF">2017-12-20T09:00:00Z</dcterms:created>
  <dcterms:modified xsi:type="dcterms:W3CDTF">2017-12-20T09:00:00Z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