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Post-Merger Integration for Carroll, Merritt and Williams</w:t>
      </w:r>
    </w:p>
    <w:p>
      <w:r>
        <w:t>Reporting period ending 22 June 2009. Prepared by Daniel Leach, Advisory, for the client's leadership; the engagement is led by Jason Torres, Principal.</w:t>
      </w:r>
    </w:p>
    <w:p>
      <w:r>
        <w:t>In short, the integration of Carroll, Merritt and Williams is on plan and within budget at the midpoint of the engagement, and no item now open is likely to move the target dates. What follows sets out, in order, the position at this stage, the work completed since the last report, the state of the budget, the work planned for the coming period, and the two matters on which the client must decide. I have put the conclusion first; the detail below is meant to support it.</w:t>
      </w:r>
    </w:p>
    <w:p>
      <w:pPr>
        <w:pStyle w:val="Heading2"/>
      </w:pPr>
      <w:r>
        <w:t>Position at This Stage</w:t>
      </w:r>
    </w:p>
    <w:p>
      <w:r>
        <w:t>We have passed the midpoint of the engagement, and the work has moved from understanding the two combined businesses to designing how the joined company will run. The current-state review is complete and was accepted by the client, and the statement of integration priorities that came out of it has been agreed with the leadership of Carroll, Merritt and Williams. Four areas are now in progress against those priorities: the design of the combined support functions, the validation of the first-year savings, the sequencing of the changes, and the handling of the customer-facing operations. Three of the four are on their planned course. The fourth, the savings validation, carries the single open dependency described below, which is why I have recorded a risk rather than reported the period as wholly clean.</w:t>
      </w:r>
    </w:p>
    <w:p>
      <w:pPr>
        <w:pStyle w:val="Heading2"/>
      </w:pPr>
      <w:r>
        <w:t>Completed Since the Last Report</w:t>
      </w:r>
    </w:p>
    <w:p>
      <w:r>
        <w:t>The following were finished in this period, each set against the priority it serves.</w:t>
      </w:r>
    </w:p>
    <w:p>
      <w:pPr>
        <w:pStyle w:val="ListBullet"/>
      </w:pPr>
      <w:r>
        <w:t>Combined support-function design. The target structure for the shared support functions was drafted and reviewed with the client, and the affected role descriptions are written and now in review. This is where the two operating models overlap most, and where early consolidation was always the most likely.</w:t>
      </w:r>
    </w:p>
    <w:p>
      <w:pPr>
        <w:pStyle w:val="ListBullet"/>
      </w:pPr>
      <w:r>
        <w:t>Savings baseline. From the reconciled cost baseline I assembled a first schedule of candidate savings, and separated those realizable in the first year from those that depend on existing contracts running their course, following the caution the client's finance team raised at the working session.</w:t>
      </w:r>
    </w:p>
    <w:p>
      <w:pPr>
        <w:pStyle w:val="ListBullet"/>
      </w:pPr>
      <w:r>
        <w:t>Peer and market context. Mary Parker completed the comparison against the closest peers and filed the sources with the schedule, so that any figure the client questions can be traced to where it came from.</w:t>
      </w:r>
    </w:p>
    <w:p>
      <w:pPr>
        <w:pStyle w:val="ListBullet"/>
      </w:pPr>
      <w:r>
        <w:t>Sequencing plan. A first order for the combined changes was laid out so that the organization can absorb them without losing a step, and it is ready for review at the next session.</w:t>
      </w:r>
    </w:p>
    <w:p>
      <w:pPr>
        <w:pStyle w:val="Heading2"/>
      </w:pPr>
      <w:r>
        <w:t>Budget</w:t>
      </w:r>
    </w:p>
    <w:p>
      <w:r>
        <w:t>The engagement is billed against a fixed fee of $54,500. Approximately half of that amount has been earned as of this report, which matches the share of the planned work now complete; on the current projection the remaining work can be delivered within the fixed fee, and no further authorization is anticipated. I would enter one qualification. If the savings validation requires access and analysis beyond what the plan assumes, the additional effort could press against the fee; should that occur, we will bring it to the client for a decision before the work is begun.</w:t>
      </w:r>
    </w:p>
    <w:p>
      <w:pPr>
        <w:pStyle w:val="Heading2"/>
      </w:pPr>
      <w:r>
        <w:t>Planned for the Coming Period</w:t>
      </w:r>
    </w:p>
    <w:p>
      <w:pPr>
        <w:pStyle w:val="ListBullet"/>
      </w:pPr>
      <w:r>
        <w:t>Complete the combined support-function design and issue the finalized role descriptions to the client for approval.</w:t>
      </w:r>
    </w:p>
    <w:p>
      <w:pPr>
        <w:pStyle w:val="ListBullet"/>
      </w:pPr>
      <w:r>
        <w:t>Close the savings validation, subject to the access noted below, and present the first-year figure separately from the amount that rests on existing contracts.</w:t>
      </w:r>
    </w:p>
    <w:p>
      <w:pPr>
        <w:pStyle w:val="ListBullet"/>
      </w:pPr>
      <w:r>
        <w:t>Confirm the sequencing plan with the client's leadership so that implementation can begin against an agreed order.</w:t>
      </w:r>
    </w:p>
    <w:p>
      <w:pPr>
        <w:pStyle w:val="ListBullet"/>
      </w:pPr>
      <w:r>
        <w:t>Prepare the mid-engagement briefing that draws the three streams into a single view of where the integration stands.</w:t>
      </w:r>
    </w:p>
    <w:p>
      <w:pPr>
        <w:pStyle w:val="Heading2"/>
      </w:pPr>
      <w:r>
        <w:t>Matters Needing a Decision</w:t>
      </w:r>
    </w:p>
    <w:p>
      <w:r>
        <w:t>Two decisions rest with the client before the coming period can proceed as planned. I have set out each one and what it holds up.</w:t>
      </w:r>
    </w:p>
    <w:p>
      <w:pPr>
        <w:pStyle w:val="ListBullet"/>
      </w:pPr>
      <w:r>
        <w:t>Access to the retained-contract records of Carroll, Merritt and Williams. The savings validation cannot separate the durable savings from those bound up in existing contracts until the team can see the underlying contract terms, which have not yet been made available to us. This is the one dependency now holding a stream off its planned course.</w:t>
      </w:r>
    </w:p>
    <w:p>
      <w:pPr>
        <w:pStyle w:val="ListBullet"/>
      </w:pPr>
      <w:r>
        <w:t>Approval of the combined role descriptions. The finalized descriptions are ready to issue, but they cannot go to the affected managers until the client's leadership has approved the language, and a delay here would move the organization announcements past the point the sequencing plan assumes.</w:t>
      </w:r>
    </w:p>
    <w:p>
      <w:pPr>
        <w:pStyle w:val="Heading2"/>
      </w:pPr>
      <w:r>
        <w:t>Assessment</w:t>
      </w:r>
    </w:p>
    <w:p>
      <w:r>
        <w:t>Taken together, the engagement is where it should be at the midpoint, and the risks that remain are ones the client is placed to resolve directly rather than ones inherent in the work itself. Jason Torres will take this report to the client's leadership at the standing review and can carry either decision on that call. The action that most affects the coming period is access to the Carroll, Merritt and Williams contract records; securing it this week keeps the savings validation on its planned course, and I will send the specific list of records we need as soon as this report is in your hands.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Post-Merger Integration for Carroll, Merritt and Williams</dc:title>
  <dc:subject/>
  <dc:creator>Daniel Leach</dc:creator>
  <cp:keywords/>
  <dc:description>generated by python-docx</dc:description>
  <cp:lastModifiedBy>Daniel Leach</cp:lastModifiedBy>
  <cp:revision>1</cp:revision>
  <dcterms:created xsi:type="dcterms:W3CDTF">2009-06-22T09:00:00Z</dcterms:created>
  <dcterms:modified xsi:type="dcterms:W3CDTF">2009-06-22T09:00:00Z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