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Status Report -- Customer Retention Program for Carroll, Merritt and Williams</w:t>
      </w:r>
    </w:p>
    <w:p>
      <w:r>
        <w:t>Reporting period ending 30 September 2019. Prepared by Deborah Jimenez, Engagement Manager, for the client's leadership.</w:t>
      </w:r>
    </w:p>
    <w:p>
      <w:r>
        <w:t>The engagement is on plan and within budget at its midpoint. The retention analysis is complete, the design of the program has begun, and nothing now open threatens the finish. What follows sets out, in order, the state of the work, what was done this period, where the budget stands, the work ahead, the decisions that rest with the client, and the one risk worth recording. The conclusion is at the top; the detail below supports it.</w:t>
      </w:r>
    </w:p>
    <w:p>
      <w:pPr>
        <w:pStyle w:val="Heading2"/>
      </w:pPr>
      <w:r>
        <w:t>Where the work stands</w:t>
      </w:r>
    </w:p>
    <w:p>
      <w:r>
        <w:t>We have passed the midpoint and crossed from analysis into design. The read of why customers leave is finished and was accepted by your team: the losses concentrate in mid-tier accounts in their second year, and they turn on a small set of service failures rather than on price. That finding matters because it points the program at a defined target instead of the whole book, and a defined target is one a small team can actually work. Three design threads are open against it, all three on their planned course, and the shape of the program is now clear enough to lay before your leadership at the next review.</w:t>
      </w:r>
    </w:p>
    <w:p>
      <w:pPr>
        <w:pStyle w:val="Heading2"/>
      </w:pPr>
      <w:r>
        <w:t>Done this period</w:t>
      </w:r>
    </w:p>
    <w:p>
      <w:pPr>
        <w:pStyle w:val="ListBullet"/>
      </w:pPr>
      <w:r>
        <w:t>Churn analysis closed. The full leaving pattern was reconciled to the customer data and accepted by the client, with the concentration in the second-year mid-tier band confirmed in hard figures rather than left as an impression.</w:t>
      </w:r>
    </w:p>
    <w:p>
      <w:pPr>
        <w:pStyle w:val="ListBullet"/>
      </w:pPr>
      <w:r>
        <w:t>Departed-customer interviews completed. Mary Parker finished the interviews with lost accounts and filed the transcripts against the analysis, so the service-failure reading now rests on the customers' own account and not only the company's.</w:t>
      </w:r>
    </w:p>
    <w:p>
      <w:pPr>
        <w:pStyle w:val="ListBullet"/>
      </w:pPr>
      <w:r>
        <w:t>Program frame drafted. A first structure for the retention program was laid out, with candidate interventions mapped to the accounts most at risk and each one written in terms of what it asks the client's staff to do.</w:t>
      </w:r>
    </w:p>
    <w:p>
      <w:pPr>
        <w:pStyle w:val="ListBullet"/>
      </w:pPr>
      <w:r>
        <w:t>Measurement approach outlined. We settled how the program's effect will be read once it is live, using data the client already holds, so the client can judge for itself whether customers are being kept without depending on us to produce the number.</w:t>
      </w:r>
    </w:p>
    <w:p>
      <w:pPr>
        <w:pStyle w:val="Heading2"/>
      </w:pPr>
      <w:r>
        <w:t>Budget</w:t>
      </w:r>
    </w:p>
    <w:p>
      <w:r>
        <w:t>The engagement is billed against a fixed fee of $112,500. About half of that has been earned as of this report, which matches the share of the planned work now complete, and the burn has tracked the plan closely enough that no correction is needed. On the current projection the remaining work is deliverable within the fixed fee, and no further authorization is expected. I will flag it early if the design phase turns out to need more of the client's time than planned, since that is the one thing that could press the estimate.</w:t>
      </w:r>
    </w:p>
    <w:p>
      <w:pPr>
        <w:pStyle w:val="Heading2"/>
      </w:pPr>
      <w:r>
        <w:t>Work ahead</w:t>
      </w:r>
    </w:p>
    <w:p>
      <w:pPr>
        <w:pStyle w:val="ListBullet"/>
      </w:pPr>
      <w:r>
        <w:t>Finish the design of the retention program and cost each intervention, so the client is choosing among options it can see the price of.</w:t>
      </w:r>
    </w:p>
    <w:p>
      <w:pPr>
        <w:pStyle w:val="ListBullet"/>
      </w:pPr>
      <w:r>
        <w:t>Build the measures that will tell the client whether the program is working once it is running.</w:t>
      </w:r>
    </w:p>
    <w:p>
      <w:pPr>
        <w:pStyle w:val="ListBullet"/>
      </w:pPr>
      <w:r>
        <w:t>Set out who on the client's side owns each part of the program, so it can be run without us in the room.</w:t>
      </w:r>
    </w:p>
    <w:p>
      <w:pPr>
        <w:pStyle w:val="ListBullet"/>
      </w:pPr>
      <w:r>
        <w:t>Prepare the handover materials, including a short operating guide for each intervention, so the client's team can carry the program on its own after we go.</w:t>
      </w:r>
    </w:p>
    <w:p>
      <w:pPr>
        <w:pStyle w:val="Heading2"/>
      </w:pPr>
      <w:r>
        <w:t>Decisions for the client</w:t>
      </w:r>
    </w:p>
    <w:p>
      <w:r>
        <w:t>Two decisions rest with the client before the coming period can run as planned. The first is who on the client's side will own each part of the program once it is live; the design can name the roles, but the people have to be chosen by the client, and the sooner they are, the sooner they can be brought into the design rather than handed a finished thing. The second is whether to trial the program with a single account team before taking it across the book, which is the course we recommend, because it lets the client see the steps work and adjust them at low cost before committing everyone.</w:t>
      </w:r>
    </w:p>
    <w:p>
      <w:pPr>
        <w:pStyle w:val="Heading2"/>
      </w:pPr>
      <w:r>
        <w:t>Risk</w:t>
      </w:r>
    </w:p>
    <w:p>
      <w:r>
        <w:t>One risk is worth recording plainly. The program leans on the client's account managers to carry the new retention steps alongside their existing load, and if that ownership is not settled early, the design will be sound on paper and hard to run in practice. We are addressing it now by naming owners as part of the design rather than after it, and by keeping each step small enough to fold into the working week. No other item now open is likely to move the target dates.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Customer Retention Program for Carroll, Merritt and Williams (draft)</dc:title>
  <dc:subject/>
  <dc:creator>Deborah Jimenez</dc:creator>
  <cp:keywords/>
  <dc:description>generated by python-docx</dc:description>
  <cp:lastModifiedBy>Deborah Jimenez</cp:lastModifiedBy>
  <cp:revision>1</cp:revision>
  <dcterms:created xsi:type="dcterms:W3CDTF">2019-10-01T09:00:00Z</dcterms:created>
  <dcterms:modified xsi:type="dcterms:W3CDTF">2019-10-01T09:00:00Z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