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Customer Retention Program for Carroll, Merritt and Williams</w:t>
      </w:r>
    </w:p>
    <w:p>
      <w:r>
        <w:t>These minutes record a working session held to take stock of where the retention analysis stands as we come up on the midpoint of the engagement. We had reached the point where the churn data could finally speak for itself, and the session was given over less to gathering than to hearing what the data says and agreeing what we do about it. What follows sets down who was present, what we discussed, and the actions each of us left with.</w:t>
      </w:r>
    </w:p>
    <w:p>
      <w:pPr>
        <w:pStyle w:val="Heading2"/>
      </w:pPr>
      <w:r>
        <w:t>Present</w:t>
      </w:r>
    </w:p>
    <w:p>
      <w:pPr>
        <w:pStyle w:val="ListBullet"/>
      </w:pPr>
      <w:r>
        <w:t>Deborah Jimenez, Engagement Manager, Calderwood Partners</w:t>
      </w:r>
    </w:p>
    <w:p>
      <w:pPr>
        <w:pStyle w:val="ListBullet"/>
      </w:pPr>
      <w:r>
        <w:t>Mary Parker, Research Associate, Calderwood Partners</w:t>
      </w:r>
    </w:p>
    <w:p>
      <w:pPr>
        <w:pStyle w:val="ListBullet"/>
      </w:pPr>
      <w:r>
        <w:t>Joseph Wallace, Chief Financial Officer, Carroll, Merritt and Williams</w:t>
      </w:r>
    </w:p>
    <w:p>
      <w:pPr>
        <w:pStyle w:val="Heading2"/>
      </w:pPr>
      <w:r>
        <w:t>What the churn data shows</w:t>
      </w:r>
    </w:p>
    <w:p>
      <w:r>
        <w:t>We walked through the first complete read of the leaving pattern. The finding that shaped the rest of the discussion is that the losses are not spread evenly across the book; they cluster in the mid-tier accounts in the second year of the relationship, and they cluster around a small number of service failures rather than around price. Joseph Wallace confirmed that this squares with what his commercial team has felt but never had the numbers to show. We agreed that having the pattern in hard figures changes the conversation from anecdote to evidence, and that the program should aim squarely at that second-year, mid-tier band.</w:t>
      </w:r>
    </w:p>
    <w:p>
      <w:pPr>
        <w:pStyle w:val="Heading2"/>
      </w:pPr>
      <w:r>
        <w:t>The test Joseph Wallace set for us</w:t>
      </w:r>
    </w:p>
    <w:p>
      <w:r>
        <w:t>Joseph Wallace was clear about the standard the program has to meet. He has seen retention pushes that ran on goodwill and a spreadsheet and quietly lapsed the moment the consultants left, and he does not want another. Whatever we design has to be something his own account managers can carry inside their ordinary week, without a specialist in the room to keep it alive. We agreed to weigh every option against that test from the outset, so that a clever program his people cannot sustain does not count as a candidate, and to describe each option in terms of what it asks those managers to do differently.</w:t>
      </w:r>
    </w:p>
    <w:p>
      <w:pPr>
        <w:pStyle w:val="Heading2"/>
      </w:pPr>
      <w:r>
        <w:t>Where we still have gaps</w:t>
      </w:r>
    </w:p>
    <w:p>
      <w:r>
        <w:t>Two gaps remain before the analysis can carry recommendations. The renewal-date history for a stretch of the mid-tier accounts is still incomplete, which keeps us from timing any intervention precisely; and we have not yet heard directly from enough departed customers to be sure the service-failure reading holds from their side and not only from the company's. Deborah Jimenez noted that both are closable inside the next few weeks and that neither puts the timeline at risk.</w:t>
      </w:r>
    </w:p>
    <w:p>
      <w:pPr>
        <w:pStyle w:val="Heading2"/>
      </w:pPr>
      <w:r>
        <w:t>Actions</w:t>
      </w:r>
    </w:p>
    <w:p>
      <w:pPr>
        <w:pStyle w:val="ListBullet"/>
      </w:pPr>
      <w:r>
        <w:t>1. Mary Parker to complete the departed-customer interviews and reconcile what they say against the service-failure reading, within two weeks.</w:t>
      </w:r>
    </w:p>
    <w:p>
      <w:pPr>
        <w:pStyle w:val="ListBullet"/>
      </w:pPr>
      <w:r>
        <w:t>2. Joseph Wallace to have his team supply the outstanding renewal-date history for the mid-tier accounts, within one week.</w:t>
      </w:r>
    </w:p>
    <w:p>
      <w:pPr>
        <w:pStyle w:val="ListBullet"/>
      </w:pPr>
      <w:r>
        <w:t>3. Deborah Jimenez to draft the shape of the retention options once the two items above are in, for review at the next session.</w:t>
      </w:r>
    </w:p>
    <w:p>
      <w:r>
        <w:t>The next step is the departed-customer interviews; once they are done and the renewal dates are in, we can move from reading the problem to designing the program, and we will hold the next session to review the first options.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Customer Retention Program for Carroll, Merritt and Williams</dc:title>
  <dc:subject/>
  <dc:creator>Mary Parker</dc:creator>
  <cp:keywords/>
  <dc:description>generated by python-docx</dc:description>
  <cp:lastModifiedBy>Mary Parker</cp:lastModifiedBy>
  <cp:revision>1</cp:revision>
  <dcterms:created xsi:type="dcterms:W3CDTF">2019-09-04T09:00:00Z</dcterms:created>
  <dcterms:modified xsi:type="dcterms:W3CDTF">2019-09-04T09:00:00Z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