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 Customer Retention Program for Carroll, Merritt and Williams</w:t>
      </w:r>
    </w:p>
    <w:p>
      <w:r>
        <w:t>These are the minutes of the session we held to review the retention program now that it has taken close to its final shape. With the engagement in its later stretch, the work of the day was less about analysis, which is behind us, and more about making sure the program we hand over is one the client can actually run once we are no longer in the room. We record here who took part, what we settled, the one question we left open, and what each of us carries forward.</w:t>
      </w:r>
    </w:p>
    <w:p>
      <w:pPr>
        <w:pStyle w:val="Heading2"/>
      </w:pPr>
      <w:r>
        <w:t>Attendees</w:t>
      </w:r>
    </w:p>
    <w:p>
      <w:pPr>
        <w:pStyle w:val="ListBullet"/>
      </w:pPr>
      <w:r>
        <w:t>Mary Parker, Research Associate, Calderwood Partners</w:t>
      </w:r>
    </w:p>
    <w:p>
      <w:pPr>
        <w:pStyle w:val="ListBullet"/>
      </w:pPr>
      <w:r>
        <w:t>Deborah Jimenez, Engagement Manager, Calderwood Partners</w:t>
      </w:r>
    </w:p>
    <w:p>
      <w:pPr>
        <w:pStyle w:val="ListBullet"/>
      </w:pPr>
      <w:r>
        <w:t>Joseph Wallace, Chief Financial Officer, Carroll, Merritt and Williams</w:t>
      </w:r>
    </w:p>
    <w:p>
      <w:pPr>
        <w:pStyle w:val="Heading2"/>
      </w:pPr>
      <w:r>
        <w:t>The program as it stands</w:t>
      </w:r>
    </w:p>
    <w:p>
      <w:r>
        <w:t>We took Joseph Wallace and his team through the program in the form it has now reached. It rests on three interventions aimed at the second-year mid-tier accounts where the losses concentrate: an earlier and more deliberate renewal conversation, a service-recovery step that catches failures before they cost an account, and a simple monthly read of the accounts most at risk. Joseph Wallace's chief concern was not the design but the load it puts on his account managers, and we spent much of the session on how to fold the steps into what they already do rather than adding to it.</w:t>
      </w:r>
    </w:p>
    <w:p>
      <w:pPr>
        <w:pStyle w:val="Heading2"/>
      </w:pPr>
      <w:r>
        <w:t>What we settled</w:t>
      </w:r>
    </w:p>
    <w:p>
      <w:r>
        <w:t>We agreed three things. The program will name a single owner on the client's side for each intervention, so accountability does not blur once we leave. The monthly at-risk read will be built from data the client already holds, so nothing depends on us to produce it. And the rollout will begin with a single account team as a trial before it goes wide, so the client can see the steps work and adjust them before committing everyone to them.</w:t>
      </w:r>
    </w:p>
    <w:p>
      <w:pPr>
        <w:pStyle w:val="Heading2"/>
      </w:pPr>
      <w:r>
        <w:t>The question still open</w:t>
      </w:r>
    </w:p>
    <w:p>
      <w:r>
        <w:t>One question we did not close, and did not want to close in haste. Joseph Wallace pressed on whether the earlier renewal conversation risks handing concessions to accounts that would have stayed anyway, and it is a fair point that goes to the cost of the program. We agreed to look, before the next session, at whether the renewal step can be aimed only at the accounts the analysis marks as genuinely at risk, so that the client spends its effort where the loss actually sits and not across the whole book.</w:t>
      </w:r>
    </w:p>
    <w:p>
      <w:pPr>
        <w:pStyle w:val="Heading2"/>
      </w:pPr>
      <w:r>
        <w:t>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Owner</w:t>
            </w:r>
          </w:p>
        </w:tc>
        <w:tc>
          <w:tcPr>
            <w:tcW w:type="dxa" w:w="2880"/>
          </w:tcPr>
          <w:p>
            <w:r>
              <w:rPr>
                <w:b/>
              </w:rPr>
              <w:t>Action</w:t>
            </w:r>
          </w:p>
        </w:tc>
        <w:tc>
          <w:tcPr>
            <w:tcW w:type="dxa" w:w="2880"/>
          </w:tcPr>
          <w:p>
            <w:r>
              <w:rPr>
                <w:b/>
              </w:rPr>
              <w:t>By when</w:t>
            </w:r>
          </w:p>
        </w:tc>
      </w:tr>
      <w:tr>
        <w:tc>
          <w:tcPr>
            <w:tcW w:type="dxa" w:w="2880"/>
          </w:tcPr>
          <w:p>
            <w:r>
              <w:t>Deborah Jimenez</w:t>
            </w:r>
          </w:p>
        </w:tc>
        <w:tc>
          <w:tcPr>
            <w:tcW w:type="dxa" w:w="2880"/>
          </w:tcPr>
          <w:p>
            <w:r>
              <w:t>Turn the agreed design into the final program document, with an owner named against each intervention</w:t>
            </w:r>
          </w:p>
        </w:tc>
        <w:tc>
          <w:tcPr>
            <w:tcW w:type="dxa" w:w="2880"/>
          </w:tcPr>
          <w:p>
            <w:r>
              <w:t>Within two weeks</w:t>
            </w:r>
          </w:p>
        </w:tc>
      </w:tr>
      <w:tr>
        <w:tc>
          <w:tcPr>
            <w:tcW w:type="dxa" w:w="2880"/>
          </w:tcPr>
          <w:p>
            <w:r>
              <w:t>Joseph Wallace</w:t>
            </w:r>
          </w:p>
        </w:tc>
        <w:tc>
          <w:tcPr>
            <w:tcW w:type="dxa" w:w="2880"/>
          </w:tcPr>
          <w:p>
            <w:r>
              <w:t>Nominate the account team that will run the initial trial and confirm its lead</w:t>
            </w:r>
          </w:p>
        </w:tc>
        <w:tc>
          <w:tcPr>
            <w:tcW w:type="dxa" w:w="2880"/>
          </w:tcPr>
          <w:p>
            <w:r>
              <w:t>Within one week</w:t>
            </w:r>
          </w:p>
        </w:tc>
      </w:tr>
      <w:tr>
        <w:tc>
          <w:tcPr>
            <w:tcW w:type="dxa" w:w="2880"/>
          </w:tcPr>
          <w:p>
            <w:r>
              <w:t>Mary Parker</w:t>
            </w:r>
          </w:p>
        </w:tc>
        <w:tc>
          <w:tcPr>
            <w:tcW w:type="dxa" w:w="2880"/>
          </w:tcPr>
          <w:p>
            <w:r>
              <w:t>Assemble the at-risk account read from existing client data and document how it is produced</w:t>
            </w:r>
          </w:p>
        </w:tc>
        <w:tc>
          <w:tcPr>
            <w:tcW w:type="dxa" w:w="2880"/>
          </w:tcPr>
          <w:p>
            <w:r>
              <w:t>Two weeks</w:t>
            </w:r>
          </w:p>
        </w:tc>
      </w:tr>
    </w:tbl>
    <w:p>
      <w:r>
        <w:t>The next step is the trial. Once Deborah Jimenez has the final program document and the client has named its trial team, we will stand the first intervention up with that team and watch how it runs before we take the program across the book.</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Customer Retention Program for Carroll, Merritt and Williams</dc:title>
  <dc:subject/>
  <dc:creator>Mary Parker</dc:creator>
  <cp:keywords/>
  <dc:description>generated by python-docx</dc:description>
  <cp:lastModifiedBy>Mary Parker</cp:lastModifiedBy>
  <cp:revision>1</cp:revision>
  <dcterms:created xsi:type="dcterms:W3CDTF">2019-12-03T09:00:00Z</dcterms:created>
  <dcterms:modified xsi:type="dcterms:W3CDTF">2019-12-03T09:00:00Z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