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Market Entry Assessment for Garcia-Werner</w:t>
      </w:r>
    </w:p>
    <w:p>
      <w:r>
        <w:t>These minutes record the working session our team held with the client to review where the market entry assessment for Garcia-Werner now stands and to agree what we take up next; they are meant as the shared record we all work from, and if any of us reads them differently, please say so within the week so that we can correct them together.</w:t>
      </w:r>
    </w:p>
    <w:p>
      <w:pPr>
        <w:pStyle w:val="Heading2"/>
      </w:pPr>
      <w:r>
        <w:t>Present</w:t>
      </w:r>
    </w:p>
    <w:p>
      <w:pPr>
        <w:pStyle w:val="ListBullet"/>
      </w:pPr>
      <w:r>
        <w:t>Jason Torres, Principal, Calderwood Partners</w:t>
      </w:r>
    </w:p>
    <w:p>
      <w:pPr>
        <w:pStyle w:val="ListBullet"/>
      </w:pPr>
      <w:r>
        <w:t>James Green, Senior Associate, Calderwood Partners</w:t>
      </w:r>
    </w:p>
    <w:p>
      <w:pPr>
        <w:pStyle w:val="ListBullet"/>
      </w:pPr>
      <w:r>
        <w:t>Deborah Gordon, Associate, Calderwood Partners</w:t>
      </w:r>
    </w:p>
    <w:p>
      <w:pPr>
        <w:pStyle w:val="ListBullet"/>
      </w:pPr>
      <w:r>
        <w:t>Mark Villegas, Chief Financial Officer, Garcia-Werner</w:t>
      </w:r>
    </w:p>
    <w:p>
      <w:pPr>
        <w:pStyle w:val="Heading2"/>
      </w:pPr>
      <w:r>
        <w:t>What we discussed</w:t>
      </w:r>
    </w:p>
    <w:p>
      <w:r>
        <w:t>We opened by walking Mark Villegas through the market picture as it now stands, and James Green took the group through the demand read and the benchmark set that underpins it, noting where the data is firm and where we are still filling gaps, so that no one left the room more confident than the evidence allows. We agreed that the shape of the opportunity is clearer than it was at the outset, that the near-term demand looks real, and that the questions worth our attention from here are narrower and sharper than the ones we began with.</w:t>
      </w:r>
    </w:p>
    <w:p>
      <w:r>
        <w:t>I then took the group through the benchmarking, which is the part of the work I own, and we looked together at how the comparable entries elsewhere have fared, so that we could anchor our own estimates against something other than our own optimism; we agreed that the peer evidence supports the case for the entry in broad terms while cautioning us on the pace at which the demand is likely to build, and that our sizing should reflect that slower build rather than assume the market arrives all at once.</w:t>
      </w:r>
    </w:p>
    <w:p>
      <w:r>
        <w:t>Much of the remaining time went to the regional sales breakdown we are still waiting on from the client's finance team, since it is the piece that lets us close the segment comparison, and Mark Villegas undertook to have it to us by the middle of next week; we were candid with one another that until it arrives our sizing carries a wider band than we would like, and Jason Torres was clear that we would show that band honestly and not paper over it. We also talked through the ways into the market, and while we did not settle on one, we did agree on the handful of criteria against which we will weigh them once the analysis is complete.</w:t>
      </w:r>
    </w:p>
    <w:p>
      <w:r>
        <w:t>Before we closed, we set out what each of us carries forward from here, and we agreed that nothing would be put in front of the client's board as settled until the underlying figures had been through both our review and theirs.</w:t>
      </w:r>
    </w:p>
    <w:p>
      <w:pPr>
        <w:pStyle w:val="Heading2"/>
      </w:pPr>
      <w:r>
        <w:t>What we each take forward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Target</w:t>
            </w:r>
          </w:p>
        </w:tc>
      </w:tr>
      <w:tr>
        <w:tc>
          <w:tcPr>
            <w:tcW w:type="dxa" w:w="2160"/>
          </w:tcPr>
          <w:p>
            <w:r>
              <w:t>1</w:t>
            </w:r>
          </w:p>
        </w:tc>
        <w:tc>
          <w:tcPr>
            <w:tcW w:type="dxa" w:w="2160"/>
          </w:tcPr>
          <w:p>
            <w:r>
              <w:t>Send the regional sales breakdown to the team</w:t>
            </w:r>
          </w:p>
        </w:tc>
        <w:tc>
          <w:tcPr>
            <w:tcW w:type="dxa" w:w="2160"/>
          </w:tcPr>
          <w:p>
            <w:r>
              <w:t>Mark Villegas</w:t>
            </w:r>
          </w:p>
        </w:tc>
        <w:tc>
          <w:tcPr>
            <w:tcW w:type="dxa" w:w="2160"/>
          </w:tcPr>
          <w:p>
            <w:r>
              <w:t>By mid next week</w:t>
            </w:r>
          </w:p>
        </w:tc>
      </w:tr>
      <w:tr>
        <w:tc>
          <w:tcPr>
            <w:tcW w:type="dxa" w:w="2160"/>
          </w:tcPr>
          <w:p>
            <w:r>
              <w:t>2</w:t>
            </w:r>
          </w:p>
        </w:tc>
        <w:tc>
          <w:tcPr>
            <w:tcW w:type="dxa" w:w="2160"/>
          </w:tcPr>
          <w:p>
            <w:r>
              <w:t>Close the segment comparison once the sales data is in</w:t>
            </w:r>
          </w:p>
        </w:tc>
        <w:tc>
          <w:tcPr>
            <w:tcW w:type="dxa" w:w="2160"/>
          </w:tcPr>
          <w:p>
            <w:r>
              <w:t>Deborah Gordon</w:t>
            </w:r>
          </w:p>
        </w:tc>
        <w:tc>
          <w:tcPr>
            <w:tcW w:type="dxa" w:w="2160"/>
          </w:tcPr>
          <w:p>
            <w:r>
              <w:t>This period</w:t>
            </w:r>
          </w:p>
        </w:tc>
      </w:tr>
      <w:tr>
        <w:tc>
          <w:tcPr>
            <w:tcW w:type="dxa" w:w="2160"/>
          </w:tcPr>
          <w:p>
            <w:r>
              <w:t>3</w:t>
            </w:r>
          </w:p>
        </w:tc>
        <w:tc>
          <w:tcPr>
            <w:tcW w:type="dxa" w:w="2160"/>
          </w:tcPr>
          <w:p>
            <w:r>
              <w:t>Firm up the entry economics and tie each figure to a source</w:t>
            </w:r>
          </w:p>
        </w:tc>
        <w:tc>
          <w:tcPr>
            <w:tcW w:type="dxa" w:w="2160"/>
          </w:tcPr>
          <w:p>
            <w:r>
              <w:t>James Green</w:t>
            </w:r>
          </w:p>
        </w:tc>
        <w:tc>
          <w:tcPr>
            <w:tcW w:type="dxa" w:w="2160"/>
          </w:tcPr>
          <w:p>
            <w:r>
              <w:t>Ongoing</w:t>
            </w:r>
          </w:p>
        </w:tc>
      </w:tr>
      <w:tr>
        <w:tc>
          <w:tcPr>
            <w:tcW w:type="dxa" w:w="2160"/>
          </w:tcPr>
          <w:p>
            <w:r>
              <w:t>4</w:t>
            </w:r>
          </w:p>
        </w:tc>
        <w:tc>
          <w:tcPr>
            <w:tcW w:type="dxa" w:w="2160"/>
          </w:tcPr>
          <w:p>
            <w:r>
              <w:t>Confirm with the client the criteria for weighing the entry options</w:t>
            </w:r>
          </w:p>
        </w:tc>
        <w:tc>
          <w:tcPr>
            <w:tcW w:type="dxa" w:w="2160"/>
          </w:tcPr>
          <w:p>
            <w:r>
              <w:t>Jason Torres</w:t>
            </w:r>
          </w:p>
        </w:tc>
        <w:tc>
          <w:tcPr>
            <w:tcW w:type="dxa" w:w="2160"/>
          </w:tcPr>
          <w:p>
            <w:r>
              <w:t>Next session</w:t>
            </w:r>
          </w:p>
        </w:tc>
      </w:tr>
    </w:tbl>
    <w:p>
      <w:r>
        <w:t>We will reconvene once the sales data is in and the segment comparison is closed, and I will circulate these minutes to everyone today; unless a correction reaches me within the week, they will stand as our record of what we agreed.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Market Entry Assessment for Garcia-Werner</dc:title>
  <dc:subject/>
  <dc:creator>Deborah Gordon</dc:creator>
  <cp:keywords/>
  <dc:description>generated by python-docx</dc:description>
  <cp:lastModifiedBy>Deborah Gordon</cp:lastModifiedBy>
  <cp:revision>1</cp:revision>
  <dcterms:created xsi:type="dcterms:W3CDTF">2012-06-29T09:00:00Z</dcterms:created>
  <dcterms:modified xsi:type="dcterms:W3CDTF">2012-06-29T09:00:00Z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