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Deborah Gordon and Brenda Rodriguez</w:t>
        <w:br/>
        <w:t>From: Mary Parker</w:t>
        <w:br/>
        <w:t>Re: Getting the pricing engagement for Garza, Leblanc and Porter under way</w:t>
      </w:r>
    </w:p>
    <w:p>
      <w:r>
        <w:t>Now that the engagement for Garza, Leblanc and Porter has opened, on June 22, 2009, I want to put down in one place how we have agreed to divide the early work, so that the three of us start in step and none of us duplicates what another is already holding. Our aim in these first weeks is narrow and practical: to understand how the client sets and manages its prices today, and to gather the market and competitor context we will need, before any of us forms a view about what should change. Nothing in this phase produces a recommendation; it produces a clean, shared picture of the present state that the later analysis can stand on.</w:t>
      </w:r>
    </w:p>
    <w:p>
      <w:r>
        <w:t>The work divides into five streams. I have put them in the order we expect to lean on them, since the present-state reading has to be at least under way before the benchmark means much:</w:t>
      </w:r>
    </w:p>
    <w:p>
      <w:pPr>
        <w:pStyle w:val="ListBullet"/>
      </w:pPr>
      <w:r>
        <w:t>1. Present-state pricing. Brenda Rodriguez will document how prices are arrived at today across the main lines of the business, drawing on the client's own pricing files and a short round of interviews, and will note where the logic is consistent and where it is not. This is the stream the others depend on, so it goes first.</w:t>
      </w:r>
    </w:p>
    <w:p>
      <w:pPr>
        <w:pStyle w:val="ListBullet"/>
      </w:pPr>
      <w:r>
        <w:t>2. Market and competitor benchmark. Deborah Gordon will build the comparison against what the market and the nearest competitors are charging, keeping the workbook structured so a single figure can always be traced back to its source. Deborah will hold off on any read of the gaps until the present-state numbers are firm enough to compare against.</w:t>
      </w:r>
    </w:p>
    <w:p>
      <w:pPr>
        <w:pStyle w:val="ListBullet"/>
      </w:pPr>
      <w:r>
        <w:t>3. Company and market background. Mary Parker will assemble the profile of the client's markets and the peers worth watching, with the sources filed as they come in, to frame where price has room to move and where it does not.</w:t>
      </w:r>
    </w:p>
    <w:p>
      <w:pPr>
        <w:pStyle w:val="ListBullet"/>
      </w:pPr>
      <w:r>
        <w:t>4. Data requests to the client. All of us will feed a single list of the documents and contacts we each need, which I will consolidate so that the client sees one request from us and not three.</w:t>
      </w:r>
    </w:p>
    <w:p>
      <w:pPr>
        <w:pStyle w:val="ListBullet"/>
      </w:pPr>
      <w:r>
        <w:t>5. Working file. I will open the shared engagement file this week and keep it current, so that every figure and source we rely on has one home and none of us is working from a private copy.</w:t>
      </w:r>
    </w:p>
    <w:p>
      <w:r>
        <w:t>Our sponsor on the client side is Barbara Ward, the Director of Operations, and I will route our requests for data and access through her so that the client hears one voice from us rather than several. She has asked that anything we need in the first month reach her in a single consolidated note, which is the reason for the fourth stream above; she has also offered to make the pricing owners on her side available for the interviews Brenda will want, once we tell her which lines we are starting with.</w:t>
      </w:r>
    </w:p>
    <w:p>
      <w:r>
        <w:t>On cadence, I propose a short standing check-in among the three of us once a week, kept to fifteen minutes and to the question of what is blocked, and a separate note to Barbara Ward only when we have something to ask for or to report. I would rather we not bury her under traffic in the first weeks, when the useful thing we can send her is a clean request and not a running commentary.</w:t>
      </w:r>
    </w:p>
    <w:p>
      <w:r>
        <w:t>The one thing I need from each of you this week is your list of the documents and contacts your stream will require, sent to me by Friday, so that I can fold it into one request and get it to Barbara Ward before the weekend; I will keep the shared engagement file current as material arrives and post a short index of what we have and what is still outstanding, so that no one has to ask me twice for the same status.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Pricing Strategy for Garza, Leblanc and Porter</dc:title>
  <dc:subject/>
  <dc:creator>Mary Parker</dc:creator>
  <cp:keywords/>
  <dc:description>generated by python-docx</dc:description>
  <cp:lastModifiedBy>Mary Parker</cp:lastModifiedBy>
  <cp:revision>1</cp:revision>
  <dcterms:created xsi:type="dcterms:W3CDTF">2009-06-25T09:00:00Z</dcterms:created>
  <dcterms:modified xsi:type="dcterms:W3CDTF">2009-06-25T09:00:00Z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