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Engagement Status Report</w:t>
      </w:r>
    </w:p>
    <w:p>
      <w:r>
        <w:t>Prepared for the leadership of Garza, Leblanc and Porter</w:t>
      </w:r>
    </w:p>
    <w:p>
      <w:r>
        <w:t>Prepared by Mary Parker, Research Associate, Advisory</w:t>
      </w:r>
    </w:p>
    <w:p>
      <w:r>
        <w:t>Subject: Progress on the pricing strategy engagement, this reporting period</w:t>
      </w:r>
    </w:p>
    <w:p>
      <w:r>
        <w:t>We are now about halfway through the pricing strategy work we are carrying out for Garza, Leblanc and Porter, and this note sets down plainly where the engagement stands, what the last several weeks have produced, and what we will turn to before the next report. Our intent with these updates is steady and simple: nothing in the final material should reach you as a surprise, so we would rather share a little more here than a little less. A pricing engagement lives or dies on the quality of the underlying data, and much of the early effort goes into earning confidence in the numbers before anyone draws a conclusion from them. In short, the diagnostic phase is behind us, the analysis is well under way, and we are on the footing we expected to hold at this point in the work.</w:t>
      </w:r>
    </w:p>
    <w:p>
      <w:pPr>
        <w:pStyle w:val="Heading2"/>
      </w:pPr>
      <w:r>
        <w:t>Where the engagement stands</w:t>
      </w:r>
    </w:p>
    <w:p>
      <w:r>
        <w:t>The first stretch of the work was about assembling a clean picture. We brought your transaction and pricing records into one place, reconciled them against the general ledger, and built a view of how price actually behaves once discounts, rebates, and freight are taken into account. That reconciliation took longer than the data alone would suggest, because a handful of accounts book their rebates a period late, and we wanted every figure to tie before we built on it. That view now holds together, and we have moved from describing the current state to examining it. Brenda Rodriguez has carried the analytical core of this work, and the realized-price picture she has built is what the rest of the analysis rests on. Deborah Gordon has run the benchmarking in parallel, so the internal read and the outside comparison have advanced together rather than one of them waiting on the other.</w:t>
      </w:r>
    </w:p>
    <w:p>
      <w:pPr>
        <w:pStyle w:val="Heading2"/>
      </w:pPr>
      <w:r>
        <w:t>What this period produced</w:t>
      </w:r>
    </w:p>
    <w:p>
      <w:r>
        <w:t>The specific pieces completed since the last update are these, set down in the order the work took them.</w:t>
      </w:r>
    </w:p>
    <w:p>
      <w:pPr>
        <w:pStyle w:val="ListBullet"/>
      </w:pPr>
      <w:r>
        <w:t>Assembled and reconciled two years of transaction-level pricing data, tied back to figures your finance staff already recognize.</w:t>
      </w:r>
    </w:p>
    <w:p>
      <w:pPr>
        <w:pStyle w:val="ListBullet"/>
      </w:pPr>
      <w:r>
        <w:t>Built the realized-price and margin waterfall for the two largest product lines, which shows where the price the company keeps departs from the price on the list.</w:t>
      </w:r>
    </w:p>
    <w:p>
      <w:pPr>
        <w:pStyle w:val="ListBullet"/>
      </w:pPr>
      <w:r>
        <w:t>Completed a first read of discount and leakage patterns by segment, and marked the two segments where the gap between list and realized price is widest.</w:t>
      </w:r>
    </w:p>
    <w:p>
      <w:pPr>
        <w:pStyle w:val="ListBullet"/>
      </w:pPr>
      <w:r>
        <w:t>Prepared company profiles and a competitive price scan for the near comparators, with every figure sourced so that any number can be traced back later.</w:t>
      </w:r>
    </w:p>
    <w:p>
      <w:pPr>
        <w:pStyle w:val="Heading2"/>
      </w:pPr>
      <w:r>
        <w:t>The budget, and where we stand against it</w:t>
      </w:r>
    </w:p>
    <w:p>
      <w:r>
        <w:t>It is worth setting our effort against the engagement's cost so the two can be read together. The work is being done for a fixed fee of $107,000, and at roughly the midpoint we have drawn down close to half of the hours the plan set aside, which is where we intend to be. The balance is weighted toward the design and testing still ahead, which is the pattern we plan for on this kind of work. No part of the current scope is running ahead of the fee, and we do not foresee a change to it. Should anything arise that would, you will hear it from us in advance of the work rather than after it, with the reason set out in writing.</w:t>
      </w:r>
    </w:p>
    <w:p>
      <w:pPr>
        <w:pStyle w:val="Heading2"/>
      </w:pPr>
      <w:r>
        <w:t>What we turn to next</w:t>
      </w:r>
    </w:p>
    <w:p>
      <w:r>
        <w:t>The coming weeks move the work from diagnosis toward design, in three steps.</w:t>
      </w:r>
    </w:p>
    <w:p>
      <w:pPr>
        <w:pStyle w:val="ListBullet"/>
      </w:pPr>
      <w:r>
        <w:t>Complete the segment-level profitability read, so that price and cost finally sit in the same view.</w:t>
      </w:r>
    </w:p>
    <w:p>
      <w:pPr>
        <w:pStyle w:val="ListBullet"/>
      </w:pPr>
      <w:r>
        <w:t>Frame two or three pricing options, covering structure, discount governance, and where realization can reasonably be recovered, each with a plain account of what it would ask of your organization.</w:t>
      </w:r>
    </w:p>
    <w:p>
      <w:pPr>
        <w:pStyle w:val="ListBullet"/>
      </w:pPr>
      <w:r>
        <w:t>Test those options against the competitive scan, so that nothing we put forward sits out of step with the market you compete in.</w:t>
      </w:r>
    </w:p>
    <w:p>
      <w:pPr>
        <w:pStyle w:val="Heading2"/>
      </w:pPr>
      <w:r>
        <w:t>What could affect the pace</w:t>
      </w:r>
    </w:p>
    <w:p>
      <w:r>
        <w:t>Two things could bear on the timeline, and we prefer to name them while they are still small. The transaction records for the smaller product lines still have gaps in the rebate detail, and until those fields are filled the leakage read for those lines stays provisional; a request for the missing data is already with your finance team. Separately, the option work depends on a short set of conversations with your commercial leaders, and their availability across the coming weeks will govern how quickly we can pressure-test what we design. Neither is a difficulty today, and we raise them only so that their standing is on the record.</w:t>
      </w:r>
    </w:p>
    <w:p>
      <w:pPr>
        <w:pStyle w:val="Heading2"/>
      </w:pPr>
      <w:r>
        <w:t>What we need next</w:t>
      </w:r>
    </w:p>
    <w:p>
      <w:r>
        <w:t>The one thing we ask of you before the next report is a half hour each with the two commercial leaders whose segments showed the widest leakage. If your office can help us hold those two meetings within the next two weeks, the option work stays on schedule, and the next update will carry the first shape of the recommendations.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Pricing Strategy for Garza, Leblanc and Porter</dc:title>
  <dc:subject/>
  <dc:creator>Mary Parker</dc:creator>
  <cp:keywords/>
  <dc:description>generated by python-docx</dc:description>
  <cp:lastModifiedBy>Mary Parker</cp:lastModifiedBy>
  <cp:revision>1</cp:revision>
  <dcterms:created xsi:type="dcterms:W3CDTF">2009-10-09T09:00:00Z</dcterms:created>
  <dcterms:modified xsi:type="dcterms:W3CDTF">2009-10-09T09:00:00Z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