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Melissa Casey</w:t>
        <w:br/>
        <w:t>From: Steven Hunt</w:t>
        <w:br/>
        <w:t>Re: Kickoff, portfolio strategy for Garza, Leblanc and Porter</w:t>
      </w:r>
    </w:p>
    <w:p>
      <w:r>
        <w:t>We are engaged to help Garza, Leblanc and Porter decide where the firm's capital and attention are best directed across its portfolio over the year ahead. The client wants a recommendation their leadership can act on, grounded in evidence rather than a survey of every option. This memo sets down what we are trying to produce and who owns which part of it, so that we begin in step instead of converging on it later.</w:t>
      </w:r>
    </w:p>
    <w:p>
      <w:r>
        <w:t>The engagement began on March 22, 2019, and our sponsor on the client side is Barbara Ward, the Director of Operations, who has agreed to clear our path to the data and the people we will need. Any request of substance to the client goes through her, and I will hold the running list of what we have asked for so that it stays on one channel.</w:t>
      </w:r>
    </w:p>
    <w:p>
      <w:r>
        <w:t>The first weeks have one job, and it is a narrow one. We build a shared and sourced picture of the portfolio as it stands before we form any view on where it should go. We do not draft conclusions yet; those come later, and only once the facts they rest on are settled and agreed with the client.</w:t>
      </w:r>
    </w:p>
    <w:p>
      <w:r>
        <w:t>The end product is a written recommendation on the portfolio with the workpapers standing behind it, and everything in the plan below feeds one or the other. It is worth saying plainly that we are advising the decision, not making it: the choice remains the client's, and we keep our analysis and our recommendation clearly apart so their leadership can weigh the evidence before being handed the answer.</w:t>
      </w:r>
    </w:p>
    <w:p>
      <w:pPr>
        <w:pStyle w:val="Heading2"/>
      </w:pPr>
      <w:r>
        <w:t>How the work divides</w:t>
      </w:r>
    </w:p>
    <w:p>
      <w:pPr>
        <w:pStyle w:val="ListBullet"/>
      </w:pPr>
      <w:r>
        <w:t>Portfolio and market evidence. I take the market and competitive read, so we can place each business against what its market is actually doing, and I hand off each figure with its source attached.</w:t>
      </w:r>
    </w:p>
    <w:p>
      <w:pPr>
        <w:pStyle w:val="ListBullet"/>
      </w:pPr>
      <w:r>
        <w:t>Exhibits and the analytical pack. Melissa Casey owns the exhibits and keeps the pack consistent from one working session to the next, on the standing principle that an unsourced chart is an unfinished one.</w:t>
      </w:r>
    </w:p>
    <w:p>
      <w:pPr>
        <w:pStyle w:val="ListBullet"/>
      </w:pPr>
      <w:r>
        <w:t>Internal reconciliation. Melissa Casey leads the reconciliation of the client's own numbers across the businesses, so that when the comparison is drawn no one has to argue about the denominator after the fact.</w:t>
      </w:r>
    </w:p>
    <w:p>
      <w:pPr>
        <w:pStyle w:val="ListBullet"/>
      </w:pPr>
      <w:r>
        <w:t>Data requests. Every request to the client routes through one list rather than several; I keep it current so that Barbara Ward is never asked twice for the same thing.</w:t>
      </w:r>
    </w:p>
    <w:p>
      <w:pPr>
        <w:pStyle w:val="ListBullet"/>
      </w:pPr>
      <w:r>
        <w:t>The engagement file. We open a shared file this week and put sources into it as they arrive, so that any figure we later rely on can be traced back to where it came from.</w:t>
      </w:r>
    </w:p>
    <w:p>
      <w:pPr>
        <w:pStyle w:val="Heading2"/>
      </w:pPr>
      <w:r>
        <w:t>The first week</w:t>
      </w:r>
    </w:p>
    <w:p>
      <w:r>
        <w:t>The priority this week is access. I will send the client our first data request by the end of the week, and Melissa Casey will begin the market and portfolio scan in parallel so that we are not idle while the data comes back. Before we meet again, I would ask you for two things: the documents your side of the work will need from the client, and the people you would want to interview; send both to me by Friday and I will fold them into the single request.</w:t>
      </w:r>
    </w:p>
    <w:p>
      <w:r>
        <w:t>From next week we hold a short standing check-in between the two of us before anything goes to the client, kept to status, blockers, and what we still need from them. That keeps our requests to the client on one channel and their answers on the record, which matters more on an engagement of this length than it may seem at the outset.</w:t>
      </w:r>
    </w:p>
    <w:p>
      <w:r>
        <w:t>I will circulate a short index of what has arrived and what is still outstanding, and refresh it as things move, so that no one has to ask me twice for the same status and so the picture we carry into each check-in with Barbara Ward is an accurate 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Portfolio Strategy for Garza, Leblanc and Porter</dc:title>
  <dc:subject/>
  <dc:creator>Steven Hunt</dc:creator>
  <cp:keywords/>
  <dc:description>generated by python-docx</dc:description>
  <cp:lastModifiedBy>Steven Hunt</cp:lastModifiedBy>
  <cp:revision>1</cp:revision>
  <dcterms:created xsi:type="dcterms:W3CDTF">2019-03-25T09:00:00Z</dcterms:created>
  <dcterms:modified xsi:type="dcterms:W3CDTF">2019-03-25T09:00:00Z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