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Portfolio Strategy for Garza, Leblanc and Porter</w:t>
      </w:r>
    </w:p>
    <w:p>
      <w:r>
        <w:t>Prepared for the leadership of Garza, Leblanc and Porter by the Calderwood engagement team, covering the period since our last update and looking ahead to the work that follows. The team on your engagement is Steven Hunt, who assembles the market and portfolio evidence, and Melissa Casey, who builds the analysis and the exhibits that carry it.</w:t>
      </w:r>
    </w:p>
    <w:p>
      <w:pPr>
        <w:pStyle w:val="Heading2"/>
      </w:pPr>
      <w:r>
        <w:t>Where the engagement stands</w:t>
      </w:r>
    </w:p>
    <w:p>
      <w:r>
        <w:t>The engagement is at its midpoint and on plan. The market and competitive read is substantially done, the business-by-business profiles are drafted, and the comparison across the portfolio is under way. One data dependency on your side, the cost-allocation schedules for the two largest businesses, is holding up the last of that comparison, and it is the item most worth your attention in the coming weeks.</w:t>
      </w:r>
    </w:p>
    <w:p>
      <w:r>
        <w:t>The recommendation is not yet formed, and at this stage it should not be. We are still assembling and reconciling the evidence your leadership will need to weigh the portfolio with confidence, and we would rather bring you a narrow picture we can stand behind than a broad one we cannot. What follows is progress against the plan rather than conclusions drawn ahead of it.</w:t>
      </w:r>
    </w:p>
    <w:p>
      <w:pPr>
        <w:pStyle w:val="Heading2"/>
      </w:pPr>
      <w:r>
        <w:t>What we completed this period</w:t>
      </w:r>
    </w:p>
    <w:p>
      <w:r>
        <w:t>The bulk of this period went to the evidence base, and it is now far enough along to describe. We have held each figure to a source as we go, so that the comparison, when it closes, will rest on numbers your own people can trace and rerun rather than take on trust.</w:t>
      </w:r>
    </w:p>
    <w:p>
      <w:pPr>
        <w:pStyle w:val="ListBullet"/>
      </w:pPr>
      <w:r>
        <w:t>Steven Hunt completed the market and competitive read for each of the larger businesses, distinguishing throughout what rests on external data from what remains our own estimate.</w:t>
      </w:r>
    </w:p>
    <w:p>
      <w:pPr>
        <w:pStyle w:val="ListBullet"/>
      </w:pPr>
      <w:r>
        <w:t>The business-by-business profiles are drafted, and Melissa Casey has reconciled the internal figures for all but the two largest businesses, where the schedules are still outstanding.</w:t>
      </w:r>
    </w:p>
    <w:p>
      <w:pPr>
        <w:pStyle w:val="ListBullet"/>
      </w:pPr>
      <w:r>
        <w:t>The benchmark set against which the portfolio is weighed is built and checked against outside data, so the comparisons rest on figures we can defend.</w:t>
      </w:r>
    </w:p>
    <w:p>
      <w:pPr>
        <w:pStyle w:val="ListBullet"/>
      </w:pPr>
      <w:r>
        <w:t>We held a working session with your team and agreed how two reorganizations within the period will be reflected in the affected profiles rather than smoothed over.</w:t>
      </w:r>
    </w:p>
    <w:p>
      <w:r>
        <w:t>A word on method, since it shapes what you can rely on. Every figure in the profiles carries a source in the engagement file, and where a number is our estimate rather than a settled fact it is labeled as an estimate, with the band around it; your finance owners can trace any line back to where it came from, and we would encourage them to do exactly that before your leadership sees the comparison.</w:t>
      </w:r>
    </w:p>
    <w:p>
      <w:pPr>
        <w:pStyle w:val="Heading2"/>
      </w:pPr>
      <w:r>
        <w:t>What comes next</w:t>
      </w:r>
    </w:p>
    <w:p>
      <w:r>
        <w:t>The next period turns on the cost-allocation schedules from your finance team. Once they are in hand, Melissa Casey closes the portfolio comparison and we finalize the profiles for the two largest businesses, so that the picture moves together rather than in pieces. With the comparison closed, we will bring your team a first view of how the portfolio sorts before any recommendation is drawn from it.</w:t>
      </w:r>
    </w:p>
    <w:p>
      <w:r>
        <w:t>That first view comes ahead of the recommendation itself and is meant to be argued with, so that your leadership can steer the analysis while it is still open rather than react to it once it has hardened. We will bring it to the working session that follows the close of the comparison, and we would welcome your team's challenge to it there.</w:t>
      </w:r>
    </w:p>
    <w:p>
      <w:pPr>
        <w:pStyle w:val="Heading2"/>
      </w:pPr>
      <w:r>
        <w:t>The engagement budget</w:t>
      </w:r>
    </w:p>
    <w:p>
      <w:r>
        <w:t>The engagement is a fixed fee of $39,000, and at its midpoint the work is tracking within it, with nothing in what remains that we expect to change that, provided the scope holds. Should you ask us to widen the work beyond the portfolio review as it was scoped, we would raise the fee with you and settle it before taking the further work on, as the engagement letter provides.</w:t>
      </w:r>
    </w:p>
    <w:p>
      <w:pPr>
        <w:pStyle w:val="Heading2"/>
      </w:pPr>
      <w:r>
        <w:t>What we are watching</w:t>
      </w:r>
    </w:p>
    <w:p>
      <w:pPr>
        <w:pStyle w:val="ListBullet"/>
      </w:pPr>
      <w:r>
        <w:t>The outstanding cost-allocation schedules are the one real dependency. Until they arrive the portfolio comparison carries a wider band than we want, and if they slip much past next month the final read slips with them; we would tell you rather than quietly absorb the delay.</w:t>
      </w:r>
    </w:p>
    <w:p>
      <w:pPr>
        <w:pStyle w:val="ListBullet"/>
      </w:pPr>
      <w:r>
        <w:t>The two reorganizations within the period create a genuine discontinuity in the internal figures. That is a matter of record rather than a problem, but it will shape how some of the businesses compare, and we are flagging it now so that it does not land as a surprise later.</w:t>
      </w:r>
    </w:p>
    <w:p>
      <w:pPr>
        <w:pStyle w:val="ListBullet"/>
      </w:pPr>
      <w:r>
        <w:t>Nothing else on the engagement is off plan at this point.</w:t>
      </w:r>
    </w:p>
    <w:p>
      <w:r>
        <w:t>We will send the next update after the working session that follows the close of the comparison. If anything here would be better discussed before then, Steven Hunt is your point of contact and will make the time.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Portfolio Strategy for Garza, Leblanc and Porter</dc:title>
  <dc:subject/>
  <dc:creator>Steven Hunt</dc:creator>
  <cp:keywords/>
  <dc:description>generated by python-docx</dc:description>
  <cp:lastModifiedBy>Steven Hunt</cp:lastModifiedBy>
  <cp:revision>1</cp:revision>
  <dcterms:created xsi:type="dcterms:W3CDTF">2019-07-28T09:00:00Z</dcterms:created>
  <dcterms:modified xsi:type="dcterms:W3CDTF">2019-07-28T09:00:00Z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