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Portfolio Strategy for Garza, Leblanc and Porter</w:t>
      </w:r>
    </w:p>
    <w:p>
      <w:r>
        <w:t>The engagement has reached its final weeks, and the portfolio recommendation is now settled enough to stand on its own. Steven Hunt prepared this report for the executive sponsor at Garza, Leblanc and Porter, covering the period since our last note to you. I have kept it close to the evidence, and where a conclusion still leans on judgment rather than confirmed data I have marked it as such.</w:t>
      </w:r>
    </w:p>
    <w:p>
      <w:pPr>
        <w:pStyle w:val="Heading2"/>
      </w:pPr>
      <w:r>
        <w:t>Where we stand</w:t>
      </w:r>
    </w:p>
    <w:p>
      <w:r>
        <w:t>We are past the analysis now and into the last of the synthesis, and nothing currently open puts the close at risk. Each of the portfolio segments we set out to examine has been worked through, and the client's leadership has seen the shape of the recommendation and had room to argue with it. What is left is to finish the supporting exhibits and to hand the work over in a form the leadership can act on without us in the room.</w:t>
      </w:r>
    </w:p>
    <w:p>
      <w:r>
        <w:t>The picture we can give the board is more definite than the one we carried into the autumn. Early on, the case for reshaping the portfolio rested on a market read I had assembled quickly and flagged as provisional, and that read has since held up against the harder company numbers. It is steadier footing than we usually stand on this close to a recommendation, and I think it is worth recording plainly.</w:t>
      </w:r>
    </w:p>
    <w:p>
      <w:pPr>
        <w:pStyle w:val="Heading2"/>
      </w:pPr>
      <w:r>
        <w:t>What came together this period</w:t>
      </w:r>
    </w:p>
    <w:p>
      <w:r>
        <w:t>The main piece of work this period was the portfolio assessment itself, which is now complete across every unit in scope. It sets out, unit by unit, where the business earns its return, where capital is tied up for too little, and where growth would repay further investment. I built it from the segment financials, the market sizing, and the interviews with the client's line leaders, and the three sources agree far more often than they part.</w:t>
      </w:r>
    </w:p>
    <w:p>
      <w:r>
        <w:t>Where they part, the reasons are documented rather than smoothed over. Two units carry a stronger growth case in the market data than their recent results would suggest, and I have laid both out with the evidence on either side so the board can weigh them itself. That is a question the recommendation should put to the leadership, not settle on their behalf, and it reads better in the open than tucked into a footnote.</w:t>
      </w:r>
    </w:p>
    <w:p>
      <w:r>
        <w:t>Alongside the assessment, Melissa Casey rebuilt the exhibit pack that carries the argument, and it is now consistent from page to page in a way the earlier drafts were not. She reconciled every figure back to its source and caught two labels that would have read as errors to anyone checking the numbers behind them. The pack is the form most of the leadership will actually read, so the care she has put into it counts for more than its place in the sequence might suggest.</w:t>
      </w:r>
    </w:p>
    <w:p>
      <w:pPr>
        <w:pStyle w:val="Heading2"/>
      </w:pPr>
      <w:r>
        <w:t>The engagement budget</w:t>
      </w:r>
    </w:p>
    <w:p>
      <w:r>
        <w:t>The engagement is billed at a fixed fee of $39,000, and the work is tracking to close inside it. The share of the fee earned to date matches the share of the work now done, and I do not expect to come back to you for more. What remains to be spent is the finishing of the exhibits and the two sessions that hand the work over, both of which the plan already accounts for.</w:t>
      </w:r>
    </w:p>
    <w:p>
      <w:pPr>
        <w:pStyle w:val="Heading2"/>
      </w:pPr>
      <w:r>
        <w:t>The closing weeks</w:t>
      </w:r>
    </w:p>
    <w:p>
      <w:r>
        <w:t>The work still to do is to finish and deliver, not to discover anything new. Melissa Casey and I will complete the exhibit pack, and I will draft the recommendation memo that sits in front of it, kept short enough for the board to take in at one sitting. We will walk the leadership through both in a working session before either is final, so the recommendation carries their questions and not only ours.</w:t>
      </w:r>
    </w:p>
    <w:p>
      <w:r>
        <w:t>After that session I will settle the memo and Melissa will lock the pack, and the engagement closes with a handover of the full working file, so the client's team can carry the analysis forward on its own. I would expect nothing between here and the finish to change the substance, and the work that is left is to present it clearly.</w:t>
      </w:r>
    </w:p>
    <w:p>
      <w:pPr>
        <w:pStyle w:val="Heading2"/>
      </w:pPr>
      <w:r>
        <w:t>What I am still watching</w:t>
      </w:r>
    </w:p>
    <w:p>
      <w:r>
        <w:t>Two things are worth the sponsor's attention, and neither is large. The first is the pair of units where the market case and the recent results pull against each other; the recommendation sets that choice in front of the board and does not make it for them, and the sponsor should come to the handover ready to take a view.</w:t>
      </w:r>
    </w:p>
    <w:p>
      <w:r>
        <w:t>The second is a single figure in the segment margins that I have had to estimate, because one unit's share of shared cost was not settled in time to use the reported number. I have used a conservative estimate and labeled it as one, and if the confirmed figure lands materially different the ranking of that unit could slip by a place. I have flagged it here so that no one downstream takes the estimate for a confirmed number.</w:t>
      </w:r>
    </w:p>
    <w:p>
      <w:r>
        <w:t>On the whole the engagement is where I would want it to be with this little left to run, and the recommendation is one the firm is comfortable putting its name to. I will send the agenda for the handover session, together with the near-final pack, in good time so that nothing in it is a surprise on the day.</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Portfolio Strategy for Garza, Leblanc and Porter</dc:title>
  <dc:subject/>
  <dc:creator>Steven Hunt</dc:creator>
  <cp:keywords/>
  <dc:description>generated by python-docx</dc:description>
  <cp:lastModifiedBy>Steven Hunt</cp:lastModifiedBy>
  <cp:revision>1</cp:revision>
  <dcterms:created xsi:type="dcterms:W3CDTF">2019-11-25T09:00:00Z</dcterms:created>
  <dcterms:modified xsi:type="dcterms:W3CDTF">2019-11-25T09:00:00Z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