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Pricing Strategy for Garza, Leblanc and Porter</w:t>
      </w:r>
    </w:p>
    <w:p>
      <w:r>
        <w:t>The session settled the main question we came in with: the benchmark holds up, and there is real room to move price on a defined set of products, but not the blanket increase some had expected. Two things still stand in the way of sizing that move, one schedule the client owes us and a clear list of the customer commitments that cannot be reset quickly, and both have owners and dates below. The rest of these minutes record how the group got there and who carries what next.</w:t>
      </w:r>
    </w:p>
    <w:p>
      <w:pPr>
        <w:pStyle w:val="Heading2"/>
      </w:pPr>
      <w:r>
        <w:t>Present</w:t>
      </w:r>
    </w:p>
    <w:p>
      <w:pPr>
        <w:pStyle w:val="ListBullet"/>
      </w:pPr>
      <w:r>
        <w:t>Brenda Rodriguez, Senior Consultant, Calderwood Partners (chair)</w:t>
      </w:r>
    </w:p>
    <w:p>
      <w:pPr>
        <w:pStyle w:val="ListBullet"/>
      </w:pPr>
      <w:r>
        <w:t>Deborah Gordon, Associate, Calderwood Partners</w:t>
      </w:r>
    </w:p>
    <w:p>
      <w:pPr>
        <w:pStyle w:val="ListBullet"/>
      </w:pPr>
      <w:r>
        <w:t>Mary Parker, Research Associate, Calderwood Partners</w:t>
      </w:r>
    </w:p>
    <w:p>
      <w:pPr>
        <w:pStyle w:val="ListBullet"/>
      </w:pPr>
      <w:r>
        <w:t>Barbara Ward, Director of Operations, Garza, Leblanc and Porter</w:t>
      </w:r>
    </w:p>
    <w:p>
      <w:pPr>
        <w:pStyle w:val="Heading2"/>
      </w:pPr>
      <w:r>
        <w:t>Discussion</w:t>
      </w:r>
    </w:p>
    <w:p>
      <w:r>
        <w:t>Deborah Gordon walked the group through the benchmark. Against the nearest competitors, the firm is priced at or above the market on its largest line and below it on a cluster of mid-volume products. Deborah was careful to separate the products where the gap is real and durable from those where it reflects a competitor's short-term promotion, and the group agreed that only the first group is worth acting on now.</w:t>
      </w:r>
    </w:p>
    <w:p>
      <w:r>
        <w:t>Brenda Rodriguez reported that the present-state pricing picture is now closed for every line but the smallest, which is still waiting on one schedule from the client. The main finding is that price is set consistently in the largest line and by looser rules elsewhere, so the same product can carry different margins depending on who quoted it. Barbara Ward confirmed that pattern from her own side and noted that some of the softer pricing is tied to older customer commitments that cannot be reset quickly. The group agreed the recommendation has to distinguish what can change on the next quote from what has to wait for those commitments to run their course.</w:t>
      </w:r>
    </w:p>
    <w:p>
      <w:r>
        <w:t>Mary Parker presented the market and competitor background that frames the benchmark, and flagged two competitors whose pricing has moved in the last quarter and is worth watching before any change goes out. She kept the read narrow, on the products where the movement is recent enough to matter, and put the rest aside as noise for now. Deborah Gordon agreed to fold that watch into the benchmark workbook so the two views do not drift apart.</w:t>
      </w:r>
    </w:p>
    <w:p>
      <w:r>
        <w:t>The group left one question open on purpose: whether to test a price change on a single product line first or move on the whole eligible set at once. Barbara Ward argued for a single line, on the ground that it is easier to walk back if a customer pushes; Brenda Rodriguez noted that a one-line test also gives us a clean before-and-after to learn from. No one pressed for the full set today. The call itself is the leadership's to make, and it will go to them framed as a choice rather than as our conclusion.</w:t>
      </w:r>
    </w:p>
    <w:p>
      <w:pPr>
        <w:pStyle w:val="Heading2"/>
      </w:pPr>
      <w:r>
        <w:t>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c>
          <w:tcPr>
            <w:tcW w:type="dxa" w:w="2160"/>
          </w:tcPr>
          <w:p>
            <w:r>
              <w:t>1</w:t>
            </w:r>
          </w:p>
        </w:tc>
        <w:tc>
          <w:tcPr>
            <w:tcW w:type="dxa" w:w="2160"/>
          </w:tcPr>
          <w:p>
            <w:r>
              <w:t>Sort the benchmark products into a durable-gap group and a promotion-driven group, and drop the second</w:t>
            </w:r>
          </w:p>
        </w:tc>
        <w:tc>
          <w:tcPr>
            <w:tcW w:type="dxa" w:w="2160"/>
          </w:tcPr>
          <w:p>
            <w:r>
              <w:t>Deborah Gordon</w:t>
            </w:r>
          </w:p>
        </w:tc>
        <w:tc>
          <w:tcPr>
            <w:tcW w:type="dxa" w:w="2160"/>
          </w:tcPr>
          <w:p>
            <w:r>
              <w:t>This week</w:t>
            </w:r>
          </w:p>
        </w:tc>
      </w:tr>
      <w:tr>
        <w:tc>
          <w:tcPr>
            <w:tcW w:type="dxa" w:w="2160"/>
          </w:tcPr>
          <w:p>
            <w:r>
              <w:t>2</w:t>
            </w:r>
          </w:p>
        </w:tc>
        <w:tc>
          <w:tcPr>
            <w:tcW w:type="dxa" w:w="2160"/>
          </w:tcPr>
          <w:p>
            <w:r>
              <w:t>Close the present-state picture on the smallest line once the last schedule arrives</w:t>
            </w:r>
          </w:p>
        </w:tc>
        <w:tc>
          <w:tcPr>
            <w:tcW w:type="dxa" w:w="2160"/>
          </w:tcPr>
          <w:p>
            <w:r>
              <w:t>Brenda Rodriguez</w:t>
            </w:r>
          </w:p>
        </w:tc>
        <w:tc>
          <w:tcPr>
            <w:tcW w:type="dxa" w:w="2160"/>
          </w:tcPr>
          <w:p>
            <w:r>
              <w:t>On receipt</w:t>
            </w:r>
          </w:p>
        </w:tc>
      </w:tr>
      <w:tr>
        <w:tc>
          <w:tcPr>
            <w:tcW w:type="dxa" w:w="2160"/>
          </w:tcPr>
          <w:p>
            <w:r>
              <w:t>3</w:t>
            </w:r>
          </w:p>
        </w:tc>
        <w:tc>
          <w:tcPr>
            <w:tcW w:type="dxa" w:w="2160"/>
          </w:tcPr>
          <w:p>
            <w:r>
              <w:t>Send the client the last outstanding pricing schedule and confirm which commitments are fixed</w:t>
            </w:r>
          </w:p>
        </w:tc>
        <w:tc>
          <w:tcPr>
            <w:tcW w:type="dxa" w:w="2160"/>
          </w:tcPr>
          <w:p>
            <w:r>
              <w:t>Barbara Ward</w:t>
            </w:r>
          </w:p>
        </w:tc>
        <w:tc>
          <w:tcPr>
            <w:tcW w:type="dxa" w:w="2160"/>
          </w:tcPr>
          <w:p>
            <w:r>
              <w:t>This week</w:t>
            </w:r>
          </w:p>
        </w:tc>
      </w:tr>
      <w:tr>
        <w:tc>
          <w:tcPr>
            <w:tcW w:type="dxa" w:w="2160"/>
          </w:tcPr>
          <w:p>
            <w:r>
              <w:t>4</w:t>
            </w:r>
          </w:p>
        </w:tc>
        <w:tc>
          <w:tcPr>
            <w:tcW w:type="dxa" w:w="2160"/>
          </w:tcPr>
          <w:p>
            <w:r>
              <w:t>Refresh the two moving competitors before any change is drafted</w:t>
            </w:r>
          </w:p>
        </w:tc>
        <w:tc>
          <w:tcPr>
            <w:tcW w:type="dxa" w:w="2160"/>
          </w:tcPr>
          <w:p>
            <w:r>
              <w:t>Mary Parker</w:t>
            </w:r>
          </w:p>
        </w:tc>
        <w:tc>
          <w:tcPr>
            <w:tcW w:type="dxa" w:w="2160"/>
          </w:tcPr>
          <w:p>
            <w:r>
              <w:t>Before next session</w:t>
            </w:r>
          </w:p>
        </w:tc>
      </w:tr>
    </w:tbl>
    <w:p>
      <w:r>
        <w:t>The one thing that has to happen before we meet again is action 3: without the last schedule and a clear read on the fixed commitments, we cannot size the change. Once Barbara Ward's team sends those over, Brenda Rodriguez will set the next session to review a first draft of the recommendation.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Strategy for Garza, Leblanc and Porter</dc:title>
  <dc:subject/>
  <dc:creator>Brenda Rodriguez</dc:creator>
  <cp:keywords/>
  <dc:description>generated by python-docx</dc:description>
  <cp:lastModifiedBy>Brenda Rodriguez</cp:lastModifiedBy>
  <cp:revision>1</cp:revision>
  <dcterms:created xsi:type="dcterms:W3CDTF">2009-09-17T09:00:00Z</dcterms:created>
  <dcterms:modified xsi:type="dcterms:W3CDTF">2009-09-17T09:00:00Z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