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Working Session — Pricing Recommendation Review</w:t>
      </w:r>
    </w:p>
    <w:p>
      <w:r>
        <w:t>The session ended with the pricing recommendation substantially in agreement: the price architecture and the discount governance now stand as the team will carry them into the final readout, with two data points still to close before then. These minutes, recorded by Brenda Rodriguez, follow the order the discussion took.</w:t>
      </w:r>
    </w:p>
    <w:p>
      <w:pPr>
        <w:pStyle w:val="Heading2"/>
      </w:pPr>
      <w:r>
        <w:t>Attendees</w:t>
      </w:r>
    </w:p>
    <w:p>
      <w:pPr>
        <w:pStyle w:val="ListBullet"/>
      </w:pPr>
      <w:r>
        <w:t>Brenda Rodriguez, Senior Consultant, Calderwood Partners</w:t>
      </w:r>
    </w:p>
    <w:p>
      <w:pPr>
        <w:pStyle w:val="ListBullet"/>
      </w:pPr>
      <w:r>
        <w:t>Mary Parker, Research Associate, Calderwood Partners</w:t>
      </w:r>
    </w:p>
    <w:p>
      <w:pPr>
        <w:pStyle w:val="ListBullet"/>
      </w:pPr>
      <w:r>
        <w:t>Deborah Gordon, Associate, Calderwood Partners</w:t>
      </w:r>
    </w:p>
    <w:p>
      <w:pPr>
        <w:pStyle w:val="ListBullet"/>
      </w:pPr>
      <w:r>
        <w:t>Barbara Ward, Director of Operations, Garza, Leblanc and Porter</w:t>
      </w:r>
    </w:p>
    <w:p>
      <w:pPr>
        <w:pStyle w:val="Heading2"/>
      </w:pPr>
      <w:r>
        <w:t>Benchmarking and realized price</w:t>
      </w:r>
    </w:p>
    <w:p>
      <w:r>
        <w:t>Deborah Gordon took the group through the final benchmarking exhibit. The realized-price gap holds up against the outside comparators: on the two largest lines the company keeps less of its list price than the near set does, and most of that gap traces to discretionary discounting rather than to freight or rebate terms. Barbara Ward asked whether the comparator set was truly like-for-like. Deborah Gordon walked through how each comparator was chosen and where the two weakest matches sit, and agreed to mark those two on the exhibit so the caveat travels with the number.</w:t>
      </w:r>
    </w:p>
    <w:p>
      <w:pPr>
        <w:pStyle w:val="Heading2"/>
      </w:pPr>
      <w:r>
        <w:t>Segment profitability</w:t>
      </w:r>
    </w:p>
    <w:p>
      <w:r>
        <w:t>Deborah Gordon then set the realized-price picture beside the cost read, segment by segment. Two segments carry most of the recoverable margin: in both, price has drifted down over the period while cost has held, so the loss is in realization rather than in cost. A third segment looks worse on price but turns out to carry genuine cost-to-serve that the discounts had been partly covering, and the group agreed to treat it on its own so the recommendation does not chase a number that is not really there. Barbara Ward confirmed the third segment matched what her operations team had seen on the ground.</w:t>
      </w:r>
    </w:p>
    <w:p>
      <w:pPr>
        <w:pStyle w:val="Heading2"/>
      </w:pPr>
      <w:r>
        <w:t>Price architecture and discount governance</w:t>
      </w:r>
    </w:p>
    <w:p>
      <w:r>
        <w:t>Brenda Rodriguez laid out the proposed architecture: a tighter list structure on the two largest lines, a tiered discount schedule keyed to order size and commitment, and an approval threshold above which a discount needs a manager's sign-off. Barbara Ward raised the practical question of whether her field organization could administer the tiers as drafted without slowing quotes to customers. The group agreed to simplify the top two tiers and to test the approval threshold against a sample of last year's orders before it is fixed, so the rule is set at a level the field can actually work with.</w:t>
      </w:r>
    </w:p>
    <w:p>
      <w:pPr>
        <w:pStyle w:val="Heading2"/>
      </w:pPr>
      <w:r>
        <w:t>Competitive scan</w:t>
      </w:r>
    </w:p>
    <w:p>
      <w:r>
        <w:t>Mary Parker summarized the competitive price scan and noted two published competitor price points that had come in since the last draft, both of which sit above the company's realized price on the comparable line. Barbara Ward flagged a third competitor she wanted included and said she could point Mary Parker to a recent quote her team had seen. The scan stays a supporting read rather than the basis for any single price, and the group kept it in that place.</w:t>
      </w:r>
    </w:p>
    <w:p>
      <w:pPr>
        <w:pStyle w:val="Heading2"/>
      </w:pPr>
      <w:r>
        <w:t>Action items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Item</w:t>
            </w:r>
          </w:p>
        </w:tc>
        <w:tc>
          <w:tcPr>
            <w:tcW w:type="dxa" w:w="2880"/>
          </w:tcPr>
          <w:p>
            <w:r>
              <w:rPr>
                <w:b/>
              </w:rPr>
              <w:t>Owner</w:t>
            </w:r>
          </w:p>
        </w:tc>
        <w:tc>
          <w:tcPr>
            <w:tcW w:type="dxa" w:w="2880"/>
          </w:tcPr>
          <w:p>
            <w:r>
              <w:rPr>
                <w:b/>
              </w:rPr>
              <w:t>Due</w:t>
            </w:r>
          </w:p>
        </w:tc>
      </w:tr>
      <w:tr>
        <w:tc>
          <w:tcPr>
            <w:tcW w:type="dxa" w:w="2880"/>
          </w:tcPr>
          <w:p>
            <w:r>
              <w:t>Reconcile the two open rebate fields on the smaller lines and close the leakage read</w:t>
            </w:r>
          </w:p>
        </w:tc>
        <w:tc>
          <w:tcPr>
            <w:tcW w:type="dxa" w:w="2880"/>
          </w:tcPr>
          <w:p>
            <w:r>
              <w:t>Brenda Rodriguez</w:t>
            </w:r>
          </w:p>
        </w:tc>
        <w:tc>
          <w:tcPr>
            <w:tcW w:type="dxa" w:w="2880"/>
          </w:tcPr>
          <w:p>
            <w:r>
              <w:t>Before the final readout</w:t>
            </w:r>
          </w:p>
        </w:tc>
      </w:tr>
      <w:tr>
        <w:tc>
          <w:tcPr>
            <w:tcW w:type="dxa" w:w="2880"/>
          </w:tcPr>
          <w:p>
            <w:r>
              <w:t>Add the two new competitor price points and the third comparator Barbara Ward flagged</w:t>
            </w:r>
          </w:p>
        </w:tc>
        <w:tc>
          <w:tcPr>
            <w:tcW w:type="dxa" w:w="2880"/>
          </w:tcPr>
          <w:p>
            <w:r>
              <w:t>Mary Parker</w:t>
            </w:r>
          </w:p>
        </w:tc>
        <w:tc>
          <w:tcPr>
            <w:tcW w:type="dxa" w:w="2880"/>
          </w:tcPr>
          <w:p>
            <w:r>
              <w:t>This week</w:t>
            </w:r>
          </w:p>
        </w:tc>
      </w:tr>
      <w:tr>
        <w:tc>
          <w:tcPr>
            <w:tcW w:type="dxa" w:w="2880"/>
          </w:tcPr>
          <w:p>
            <w:r>
              <w:t>Mark the two weakest comparator matches on the benchmarking exhibit</w:t>
            </w:r>
          </w:p>
        </w:tc>
        <w:tc>
          <w:tcPr>
            <w:tcW w:type="dxa" w:w="2880"/>
          </w:tcPr>
          <w:p>
            <w:r>
              <w:t>Deborah Gordon</w:t>
            </w:r>
          </w:p>
        </w:tc>
        <w:tc>
          <w:tcPr>
            <w:tcW w:type="dxa" w:w="2880"/>
          </w:tcPr>
          <w:p>
            <w:r>
              <w:t>Before the final readout</w:t>
            </w:r>
          </w:p>
        </w:tc>
      </w:tr>
      <w:tr>
        <w:tc>
          <w:tcPr>
            <w:tcW w:type="dxa" w:w="2880"/>
          </w:tcPr>
          <w:p>
            <w:r>
              <w:t>Confirm the field can administer the simplified discount tiers</w:t>
            </w:r>
          </w:p>
        </w:tc>
        <w:tc>
          <w:tcPr>
            <w:tcW w:type="dxa" w:w="2880"/>
          </w:tcPr>
          <w:p>
            <w:r>
              <w:t>Barbara Ward</w:t>
            </w:r>
          </w:p>
        </w:tc>
        <w:tc>
          <w:tcPr>
            <w:tcW w:type="dxa" w:w="2880"/>
          </w:tcPr>
          <w:p>
            <w:r>
              <w:t>Before the final readout</w:t>
            </w:r>
          </w:p>
        </w:tc>
      </w:tr>
    </w:tbl>
    <w:p>
      <w:r>
        <w:t>The next step is Brenda Rodriguez pulling the agreed architecture and governance into the draft recommendation for the final readout; the two open data points are the only items that gate it.</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4A2E2A"/>
        <w:sz w:val="28"/>
      </w:rPr>
      <w:t>Calderwood Partners LLC</w:t>
    </w:r>
  </w:p>
  <w:p>
    <w:r>
      <w:rPr>
        <w:sz w:val="18"/>
      </w:rPr>
      <w:t>www.calderwoodpartners.com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Calderwood Partners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Meeting Minutes: Pricing Strategy for Garza, Leblanc and Porter</dc:title>
  <dc:subject/>
  <dc:creator>Brenda Rodriguez</dc:creator>
  <cp:keywords/>
  <dc:description>generated by python-docx</dc:description>
  <cp:lastModifiedBy>Brenda Rodriguez</cp:lastModifiedBy>
  <cp:revision>1</cp:revision>
  <dcterms:created xsi:type="dcterms:W3CDTF">2009-12-16T09:00:00Z</dcterms:created>
  <dcterms:modified xsi:type="dcterms:W3CDTF">2009-12-16T09:00:00Z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