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Portfolio Strategy for Garza, Leblanc and Porter</w:t>
      </w:r>
    </w:p>
    <w:p>
      <w:r>
        <w:t>These minutes record the working session held to review the state of the portfolio strategy work for Garza, Leblanc and Porter and to fix what each party carries forward from here; they are intended as the shared record the team works from, and any attendee who reads a point differently should say so within the week so that the record can be corrected before it is relied on.</w:t>
      </w:r>
    </w:p>
    <w:p>
      <w:pPr>
        <w:pStyle w:val="Heading2"/>
      </w:pPr>
      <w:r>
        <w:t>Present</w:t>
      </w:r>
    </w:p>
    <w:p>
      <w:pPr>
        <w:pStyle w:val="ListBullet"/>
      </w:pPr>
      <w:r>
        <w:t>Steven Hunt, Research Associate, Calderwood Partners</w:t>
      </w:r>
    </w:p>
    <w:p>
      <w:pPr>
        <w:pStyle w:val="ListBullet"/>
      </w:pPr>
      <w:r>
        <w:t>Melissa Casey, Research Associate, Calderwood Partners</w:t>
      </w:r>
    </w:p>
    <w:p>
      <w:pPr>
        <w:pStyle w:val="ListBullet"/>
      </w:pPr>
      <w:r>
        <w:t>Barbara Ward, Director of Operations, Garza, Leblanc and Porter</w:t>
      </w:r>
    </w:p>
    <w:p>
      <w:pPr>
        <w:pStyle w:val="Heading2"/>
      </w:pPr>
      <w:r>
        <w:t>Matters discussed</w:t>
      </w:r>
    </w:p>
    <w:p>
      <w:r>
        <w:t>Steven Hunt opened by taking the group through the market and competitive read as it now stands, setting out for each of the larger businesses how its market has moved over the recent period and where the demand behind it appears to be settling, and he was careful to distinguish the parts of that read that rest on external data from the parts that still rest on our own estimate, so that no one in the room left more confident than the evidence yet allows.</w:t>
      </w:r>
    </w:p>
    <w:p>
      <w:r>
        <w:t>We then reviewed the business-by-business profiles I have been assembling, and we agreed that the shape of the portfolio is clearer than it was at the outset while several of the internal figures remain to be reconciled, in particular the cost allocations across the two largest businesses, which we cannot close until the client's finance team supplies the schedules behind them; until those arrive, the comparison across the portfolio carries a wider band than we would want to place in front of anyone.</w:t>
      </w:r>
    </w:p>
    <w:p>
      <w:r>
        <w:t>On method, we agreed to hold each figure in the profiles to a stated source before it is used, and to keep what we know apart from what we assume, marking every estimate as an estimate with the band around it; this discipline slows the assembly somewhat, but it is what will let the client's own people rerun the comparison after we have gone, which Barbara Ward noted her leadership would expect to be able to do.</w:t>
      </w:r>
    </w:p>
    <w:p>
      <w:r>
        <w:t>Barbara Ward gave the client's account of where the outstanding schedules stand and undertook to have them to us by the middle of next month, and, before we set an action against that, she walked us through two reorganizations within the period that explain part of the discrepancy we had flagged in the earlier numbers; we agreed that the profiles would note those reorganizations plainly rather than smooth over the discontinuity they create in the figures.</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Target</w:t>
            </w:r>
          </w:p>
        </w:tc>
      </w:tr>
      <w:tr>
        <w:tc>
          <w:tcPr>
            <w:tcW w:type="dxa" w:w="2160"/>
          </w:tcPr>
          <w:p>
            <w:r>
              <w:t>1</w:t>
            </w:r>
          </w:p>
        </w:tc>
        <w:tc>
          <w:tcPr>
            <w:tcW w:type="dxa" w:w="2160"/>
          </w:tcPr>
          <w:p>
            <w:r>
              <w:t>Deliver the cost-allocation schedules for the two largest businesses</w:t>
            </w:r>
          </w:p>
        </w:tc>
        <w:tc>
          <w:tcPr>
            <w:tcW w:type="dxa" w:w="2160"/>
          </w:tcPr>
          <w:p>
            <w:r>
              <w:t>Barbara Ward</w:t>
            </w:r>
          </w:p>
        </w:tc>
        <w:tc>
          <w:tcPr>
            <w:tcW w:type="dxa" w:w="2160"/>
          </w:tcPr>
          <w:p>
            <w:r>
              <w:t>By mid next month</w:t>
            </w:r>
          </w:p>
        </w:tc>
      </w:tr>
      <w:tr>
        <w:tc>
          <w:tcPr>
            <w:tcW w:type="dxa" w:w="2160"/>
          </w:tcPr>
          <w:p>
            <w:r>
              <w:t>2</w:t>
            </w:r>
          </w:p>
        </w:tc>
        <w:tc>
          <w:tcPr>
            <w:tcW w:type="dxa" w:w="2160"/>
          </w:tcPr>
          <w:p>
            <w:r>
              <w:t>Close the portfolio comparison once the schedules are in</w:t>
            </w:r>
          </w:p>
        </w:tc>
        <w:tc>
          <w:tcPr>
            <w:tcW w:type="dxa" w:w="2160"/>
          </w:tcPr>
          <w:p>
            <w:r>
              <w:t>Melissa Casey</w:t>
            </w:r>
          </w:p>
        </w:tc>
        <w:tc>
          <w:tcPr>
            <w:tcW w:type="dxa" w:w="2160"/>
          </w:tcPr>
          <w:p>
            <w:r>
              <w:t>This period</w:t>
            </w:r>
          </w:p>
        </w:tc>
      </w:tr>
      <w:tr>
        <w:tc>
          <w:tcPr>
            <w:tcW w:type="dxa" w:w="2160"/>
          </w:tcPr>
          <w:p>
            <w:r>
              <w:t>3</w:t>
            </w:r>
          </w:p>
        </w:tc>
        <w:tc>
          <w:tcPr>
            <w:tcW w:type="dxa" w:w="2160"/>
          </w:tcPr>
          <w:p>
            <w:r>
              <w:t>Firm up the market and competitive read and tie each figure to its source</w:t>
            </w:r>
          </w:p>
        </w:tc>
        <w:tc>
          <w:tcPr>
            <w:tcW w:type="dxa" w:w="2160"/>
          </w:tcPr>
          <w:p>
            <w:r>
              <w:t>Steven Hunt</w:t>
            </w:r>
          </w:p>
        </w:tc>
        <w:tc>
          <w:tcPr>
            <w:tcW w:type="dxa" w:w="2160"/>
          </w:tcPr>
          <w:p>
            <w:r>
              <w:t>Ongoing</w:t>
            </w:r>
          </w:p>
        </w:tc>
      </w:tr>
      <w:tr>
        <w:tc>
          <w:tcPr>
            <w:tcW w:type="dxa" w:w="2160"/>
          </w:tcPr>
          <w:p>
            <w:r>
              <w:t>4</w:t>
            </w:r>
          </w:p>
        </w:tc>
        <w:tc>
          <w:tcPr>
            <w:tcW w:type="dxa" w:w="2160"/>
          </w:tcPr>
          <w:p>
            <w:r>
              <w:t>Note the two reorganizations in the affected business profiles</w:t>
            </w:r>
          </w:p>
        </w:tc>
        <w:tc>
          <w:tcPr>
            <w:tcW w:type="dxa" w:w="2160"/>
          </w:tcPr>
          <w:p>
            <w:r>
              <w:t>Melissa Casey</w:t>
            </w:r>
          </w:p>
        </w:tc>
        <w:tc>
          <w:tcPr>
            <w:tcW w:type="dxa" w:w="2160"/>
          </w:tcPr>
          <w:p>
            <w:r>
              <w:t>Next session</w:t>
            </w:r>
          </w:p>
        </w:tc>
      </w:tr>
    </w:tbl>
    <w:p>
      <w:r>
        <w:t>We will reconvene once the schedules are in hand and the portfolio comparison has been closed against them, and I will circulate these minutes to the group today; unless a correction reaches me within the week, they will stand as the agreed record of the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Portfolio Strategy for Garza, Leblanc and Porter</dc:title>
  <dc:subject/>
  <dc:creator>Melissa Casey</dc:creator>
  <cp:keywords/>
  <dc:description>generated by python-docx</dc:description>
  <cp:lastModifiedBy>Melissa Casey</cp:lastModifiedBy>
  <cp:revision>1</cp:revision>
  <dcterms:created xsi:type="dcterms:W3CDTF">2019-07-02T09:00:00Z</dcterms:created>
  <dcterms:modified xsi:type="dcterms:W3CDTF">2019-07-02T09:00:00Z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