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Working Session: Portfolio Strategy for Garza, Leblanc and Porter</w:t>
      </w:r>
    </w:p>
    <w:p>
      <w:r>
        <w:t>These minutes set down what was reviewed and agreed at the working session on the portfolio strategy work for Garza, Leblanc and Porter, held to take stock now that the comparison across the portfolio has been closed and to agree how the remaining weeks are spent; as before, any attendee who reads a point otherwise should raise it within the week so that we correct the record together.</w:t>
      </w:r>
    </w:p>
    <w:p>
      <w:pPr>
        <w:pStyle w:val="Heading2"/>
      </w:pPr>
      <w:r>
        <w:t>In attendance</w:t>
      </w:r>
    </w:p>
    <w:p>
      <w:pPr>
        <w:pStyle w:val="ListBullet"/>
      </w:pPr>
      <w:r>
        <w:t>Steven Hunt, Research Associate, Calderwood Partners</w:t>
      </w:r>
    </w:p>
    <w:p>
      <w:pPr>
        <w:pStyle w:val="ListBullet"/>
      </w:pPr>
      <w:r>
        <w:t>Melissa Casey, Research Associate, Calderwood Partners</w:t>
      </w:r>
    </w:p>
    <w:p>
      <w:pPr>
        <w:pStyle w:val="ListBullet"/>
      </w:pPr>
      <w:r>
        <w:t>Barbara Ward, Director of Operations, Garza, Leblanc and Porter</w:t>
      </w:r>
    </w:p>
    <w:p>
      <w:pPr>
        <w:pStyle w:val="Heading2"/>
      </w:pPr>
      <w:r>
        <w:t>Summary of discussion</w:t>
      </w:r>
    </w:p>
    <w:p>
      <w:r>
        <w:t>We began with the state of the completed comparison, and Steven Hunt took the group through how the portfolio now sorts once the cost-allocation schedules from the client are folded in, noting that the picture held broadly to the earlier read while sharpening it in the two places we had flagged as uncertain; we agreed that the two largest businesses now sit where the reconciled figures put them rather than where the earlier estimates had, and that the profiles should say as much plainly.</w:t>
      </w:r>
    </w:p>
    <w:p>
      <w:r>
        <w:t>On method we held to the same discipline as before, keeping what the reconciled figures now show apart from what remains an estimate and marking each accordingly, since the value of the comparison to the client rests on their being able to rerun it after we have gone; Steven Hunt confirmed that every line in the closed comparison traces to a source in the engagement file, which is the condition we had set for treating it as settled.</w:t>
      </w:r>
    </w:p>
    <w:p>
      <w:r>
        <w:t>We then worked through the options for the portfolio that the analysis supports, and rather than settle on one we set out the handful of criteria against which the client's leadership will weigh them, so that the choice reaches them as a set of reasoned alternatives and not as a single answer handed down; Barbara Ward was clear that her leadership would expect to see the reasoning behind each option, and we agreed that the reasoning would travel with the options rather than be held back for the recommendation.</w:t>
      </w:r>
    </w:p>
    <w:p>
      <w:r>
        <w:t>Before closing we reviewed what remains, and I set out the state of the exhibits, which are largely built but not yet through a final check for sourcing and labels; we agreed that nothing would go in front of the client's leadership as settled until the underlying figures had been through both our review and the client's, and Barbara Ward undertook to line up the finance owners for that review in the coming weeks.</w:t>
      </w:r>
    </w:p>
    <w:p>
      <w:pPr>
        <w:pStyle w:val="Heading2"/>
      </w:pPr>
      <w:r>
        <w:t>Actions carried forward</w:t>
      </w:r>
    </w:p>
    <w:p>
      <w:pPr>
        <w:pStyle w:val="ListBullet"/>
      </w:pPr>
      <w:r>
        <w:t>Steven Hunt to finalize the portfolio sort and confirm each figure against its source in the engagement file.</w:t>
      </w:r>
    </w:p>
    <w:p>
      <w:pPr>
        <w:pStyle w:val="ListBullet"/>
      </w:pPr>
      <w:r>
        <w:t>Melissa Casey to complete the final sourcing and labeling check on the exhibits before any of them are shown.</w:t>
      </w:r>
    </w:p>
    <w:p>
      <w:pPr>
        <w:pStyle w:val="ListBullet"/>
      </w:pPr>
      <w:r>
        <w:t>Barbara Ward to line up the client's finance owners to review the reconciled figures.</w:t>
      </w:r>
    </w:p>
    <w:p>
      <w:pPr>
        <w:pStyle w:val="ListBullet"/>
      </w:pPr>
      <w:r>
        <w:t>The team to prepare the portfolio options and their reasoning for the client leadership's review at the next session, ahead of any recommendation.</w:t>
      </w:r>
    </w:p>
    <w:p>
      <w:r>
        <w:t>We will reconvene once the exhibits have cleared their final check and the client's review of the figures is arranged, and I will circulate these minutes to the group today; unless a correction reaches me within the week, they stand as the record of the session.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Portfolio Strategy for Garza, Leblanc and Porter</dc:title>
  <dc:subject/>
  <dc:creator>Melissa Casey</dc:creator>
  <cp:keywords/>
  <dc:description>generated by python-docx</dc:description>
  <cp:lastModifiedBy>Melissa Casey</cp:lastModifiedBy>
  <cp:revision>1</cp:revision>
  <dcterms:created xsi:type="dcterms:W3CDTF">2019-09-30T09:00:00Z</dcterms:created>
  <dcterms:modified xsi:type="dcterms:W3CDTF">2019-09-30T09:00:00Z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