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Operating Model Redesign</w:t>
      </w:r>
    </w:p>
    <w:p>
      <w:r>
        <w:t>Prepared for the leadership team at Hughes Group. This report covers the engagement's progress since our last review and identifies the point on which we will need a decision from your side before the design work gives way to implementation planning. We have now reached roughly the midpoint of the engagement, and the matter that should hold your attention is a structural one: whether the finance, procurement, and information-technology support that today sits inside each operating unit ought to be consolidated into a single shared-services organization, or whether a lighter coordinating arrangement will capture most of the available benefit while sparing the business the disruption that a full consolidation would carry with it. The analysis so far suggests that the case for consolidation is genuine but narrower than the opening hypothesis assumed, and I want to put that qualification in front of you plainly now, before an early estimate hardens into an expectation the later work cannot support.</w:t>
      </w:r>
    </w:p>
    <w:p>
      <w:pPr>
        <w:pStyle w:val="Heading2"/>
      </w:pPr>
      <w:r>
        <w:t>Where the work stands</w:t>
      </w:r>
    </w:p>
    <w:p>
      <w:r>
        <w:t>At the midpoint the diagnostic is essentially complete and the design phase is underway. We have a defensible cost baseline for the support functions across the Hughes Group operating units, we have mapped the principal process handoffs that cross unit boundaries, and we have a first-pass model of what a consolidated organization would look like in terms of reporting lines, staffing, and the service levels the units would be entitled to expect. What remains before implementation can begin is the validation of that model against the operating constraints your managers raised during the interviews, together with a disciplined estimate of the transition cost, which in engagements of this kind is the figure most often underweighted at the outset. Brenda Rodriguez has led the baseline analysis, and she has been deliberate in separating the savings that are structural from those that rest on assumptions we have not yet been able to confirm; I would ask you to read her eventual numbers with that distinction in mind.</w:t>
      </w:r>
    </w:p>
    <w:p>
      <w:pPr>
        <w:pStyle w:val="Heading2"/>
      </w:pPr>
      <w:r>
        <w:t>Completed since the last review</w:t>
      </w:r>
    </w:p>
    <w:p>
      <w:r>
        <w:t>Several pieces of work closed out in this period, and I set them down so that your team can see where the ground is now firm.</w:t>
      </w:r>
    </w:p>
    <w:p>
      <w:pPr>
        <w:pStyle w:val="ListBullet"/>
      </w:pPr>
      <w:r>
        <w:t>1. We completed the cost baseline for the support functions and reconciled it against the general ledger, so that the figures we build on are your own and not our reconstruction of them.</w:t>
      </w:r>
    </w:p>
    <w:p>
      <w:pPr>
        <w:pStyle w:val="ListBullet"/>
      </w:pPr>
      <w:r>
        <w:t>2. We finished the round of operator interviews across the units and documented the handoffs, exceptions, and workarounds that a purely organizational view of the functions tends to miss.</w:t>
      </w:r>
    </w:p>
    <w:p>
      <w:pPr>
        <w:pStyle w:val="ListBullet"/>
      </w:pPr>
      <w:r>
        <w:t>3. We produced a first draft of the target operating model, including a straw-man organization chart and a provisional set of service definitions, which is now with your functional leads for comment.</w:t>
      </w:r>
    </w:p>
    <w:p>
      <w:pPr>
        <w:pStyle w:val="Heading2"/>
      </w:pPr>
      <w:r>
        <w:t>The period ahead</w:t>
      </w:r>
    </w:p>
    <w:p>
      <w:r>
        <w:t>The next stretch of the engagement is where the design is tested against reality, and it is the part that most determines whether the eventual recommendation holds up in practice.</w:t>
      </w:r>
    </w:p>
    <w:p>
      <w:pPr>
        <w:pStyle w:val="ListBullet"/>
      </w:pPr>
      <w:r>
        <w:t>1. We will validate the target model with the functional leads and revise it where their objections are well founded, rather than defending the first draft for its own sake.</w:t>
      </w:r>
    </w:p>
    <w:p>
      <w:pPr>
        <w:pStyle w:val="ListBullet"/>
      </w:pPr>
      <w:r>
        <w:t>2. We will build the transition plan and cost estimate, treating the one-time cost of moving from the current state to the new one as a first-class number and not a footnote.</w:t>
      </w:r>
    </w:p>
    <w:p>
      <w:pPr>
        <w:pStyle w:val="ListBullet"/>
      </w:pPr>
      <w:r>
        <w:t>3. We will prepare the recommendation and the supporting case for the decision described at the top of this report, so that when your leadership takes it up they are choosing between two clearly drawn options and not between a proposal and a vacuum.</w:t>
      </w:r>
    </w:p>
    <w:p>
      <w:pPr>
        <w:pStyle w:val="Heading2"/>
      </w:pPr>
      <w:r>
        <w:t>Risks, and where we will need your help</w:t>
      </w:r>
    </w:p>
    <w:p>
      <w:r>
        <w:t>A few conditions will determine whether we hold the schedule, and because each of them sits partly on your side of the table, I want to set them out before I make any request of you.</w:t>
      </w:r>
    </w:p>
    <w:p>
      <w:pPr>
        <w:pStyle w:val="ListBullet"/>
      </w:pPr>
      <w:r>
        <w:t>1. Access to the finance systems has been slower than planned, and the transition estimate depends on data we have not yet received; if your team can clear the outstanding requests, we can keep the design phase from slipping into the validation window.</w:t>
      </w:r>
    </w:p>
    <w:p>
      <w:pPr>
        <w:pStyle w:val="ListBullet"/>
      </w:pPr>
      <w:r>
        <w:t>2. The functional leads are being asked to comment on a model that reduces the autonomy some of them have held for years, and candid feedback from them is worth more to us than polite agreement; a word from you that their objections are genuinely wanted would improve what we get back.</w:t>
      </w:r>
    </w:p>
    <w:p>
      <w:pPr>
        <w:pStyle w:val="ListBullet"/>
      </w:pPr>
      <w:r>
        <w:t>3. The transition cost remains the largest single uncertainty in the case, and I want to say now that our first estimate is likely to come in above what the early conversations implied, so that the figure surprises no one when it lands.</w:t>
      </w:r>
    </w:p>
    <w:p>
      <w:r>
        <w:t>None of this changes my read that the engagement is on course. The design is sound in its bones, the open questions are the ones we expected to be open at this stage, and the decision in front of you is a real choice and not a foregone conclusion dressed up as one. I will bring the validated model and the transition estimate to the next review, and I am glad to walk any of your leadership through the working before then.</w:t>
      </w:r>
    </w:p>
    <w:p>
      <w:r>
        <w:t>Respectfully, Jason Torres, Principal, Calderwood Partners.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Operating Model Redesign for Hughes Group</dc:title>
  <dc:subject/>
  <dc:creator>Jason Torres</dc:creator>
  <cp:keywords/>
  <dc:description>generated by python-docx</dc:description>
  <cp:lastModifiedBy>Jason Torres</cp:lastModifiedBy>
  <cp:revision>1</cp:revision>
  <dcterms:created xsi:type="dcterms:W3CDTF">2008-09-08T09:00:00Z</dcterms:created>
  <dcterms:modified xsi:type="dcterms:W3CDTF">2008-09-08T09:00:00Z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