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Sales Effectiveness Review: Status Report</w:t>
      </w:r>
    </w:p>
    <w:p>
      <w:r>
        <w:t>This report sets out where the review of your sales organization stands at the midpoint of the engagement, what the team has completed since the work began, what lies ahead, and the risks worth watching between here and the close. The work is on schedule and is being delivered within the agreed fee of $30,000, and nothing in the evidence gathered so far has forced a change to the scope set out in our engagement letter for Hughes Group.</w:t>
      </w:r>
    </w:p>
    <w:p>
      <w:r>
        <w:t>I have written this report so that it can be read on its own, and a colleague of yours who has not sat in our working sessions should be able to take the state of the work from it without a separate briefing.</w:t>
      </w:r>
    </w:p>
    <w:p>
      <w:pPr>
        <w:pStyle w:val="Heading2"/>
      </w:pPr>
      <w:r>
        <w:t>Where the Work Stands</w:t>
      </w:r>
    </w:p>
    <w:p>
      <w:r>
        <w:t>The base of evidence on how the sales organization is structured and how it prices is now substantially in place, and the analysis has moved from gathering the record to testing it. Two things are becoming clear enough to state, though neither is yet a settled finding. The first is that the organization is soundly built: its territories are sensibly drawn and its accounts are coherently assigned, and little of the difficulty the review is uncovering traces to the way the sales force is laid out. The second is that the discipline around price is looser than the written policy implies, in that discount authority is exercised more widely and with less recorded justification than the policy contemplates, and it is here that the review is likely to earn its keep.</w:t>
      </w:r>
    </w:p>
    <w:p>
      <w:r>
        <w:t>On the pipeline the picture is still forming. The record of how opportunities enter, progress, and are lost is more fragmentary than the pricing record, and we have flagged the gaps to your office rather than paper over them; what can be said already is that the organization appears to lose a disproportionate share of its opportunities late in the cycle, at the point where price is negotiated, which would tie the pipeline question back to the discount question and is exactly the sort of connection the second half is meant to test.</w:t>
      </w:r>
    </w:p>
    <w:p>
      <w:pPr>
        <w:pStyle w:val="Heading2"/>
      </w:pPr>
      <w:r>
        <w:t>Completed in This Period</w:t>
      </w:r>
    </w:p>
    <w:p>
      <w:r>
        <w:t>Since the last report the team has closed several pieces of the groundwork on which the second half depends. The records on territory and account assignment have been assembled and reconciled, and the transaction extract covering the last two years has been organized into a single sourced file that the whole team now works from, so that no figure we later show you will be unmoored from the record it came from. Matthew Parrish has built the outside benchmark set against which we measure your sales performance, and has held two of the comparables back pending confirmation that they report on a like basis, which is the sort of caution I would rather see than a clean number that later fails. Jason Torres has walked your office through the emerging read at our last working session and has framed for you the single question the second half will turn on, which is the distance between your discount policy as written and your discount practice as the record shows it.</w:t>
      </w:r>
    </w:p>
    <w:p>
      <w:pPr>
        <w:pStyle w:val="Heading2"/>
      </w:pPr>
      <w:r>
        <w:t>The Weeks Ahead</w:t>
      </w:r>
    </w:p>
    <w:p>
      <w:r>
        <w:t>The next phase quantifies that distance rather than describes it, since your own team has asked, rightly, that we put a figure to the gap between policy and practice instead of characterizing it in general terms. In parallel, Matthew Parrish will settle the reporting basis of the two outstanding comparables so that the benchmark set is complete before we draw the findings together. As the internal detail on discount authority arrives we will reconcile where authority formally sits against where it is actually exercised, and it is that reconciliation, more than any single exhibit, that will let us say how far the practice has drifted from the rule.</w:t>
      </w:r>
    </w:p>
    <w:p>
      <w:r>
        <w:t>Once that work is done we expect to bring a first integrated read to a working session, framed as a set of findings your office can take apart before any of them is treated as settled. The closing weeks after that go to the write-up and to stress-testing the two or three judgments the case turns on, so that the final report marks clearly the line between what the evidence establishes and what it only suggests.</w:t>
      </w:r>
    </w:p>
    <w:p>
      <w:pPr>
        <w:pStyle w:val="Heading2"/>
      </w:pPr>
      <w:r>
        <w:t>Risks and Watch Items</w:t>
      </w:r>
    </w:p>
    <w:p>
      <w:r>
        <w:t>Two items carry the schedule, and I would rather set them down now than have either surface late. The first is the delegation-of-authority detail behind discount approval, which the transaction record implies but does not fully document; the quantification of the policy-to-practice gap cannot close until that detail is in hand, and a week of delay there is a week the phase does not move. The second is the pair of unconfirmed comparables: until their reporting basis is settled the benchmark set stays provisional, and we are holding it open deliberately rather than publish a comparison we have not yet stood behind.</w:t>
      </w:r>
    </w:p>
    <w:p>
      <w:r>
        <w:t>None of the above changes the shape of the engagement or the fee of $30,000 agreed for it; the work remains within its budget and on its planned course toward the close.</w:t>
      </w:r>
    </w:p>
    <w:p>
      <w:r>
        <w:t>Prepared by Nicole Griffin, Research Associate, Calderwood Partners.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Sales Effectiveness for Hughes Group</dc:title>
  <dc:subject/>
  <dc:creator>Nicole Griffin</dc:creator>
  <cp:keywords/>
  <dc:description>generated by python-docx</dc:description>
  <cp:lastModifiedBy>Nicole Griffin</cp:lastModifiedBy>
  <cp:revision>1</cp:revision>
  <dcterms:created xsi:type="dcterms:W3CDTF">2016-05-13T09:00:00Z</dcterms:created>
  <dcterms:modified xsi:type="dcterms:W3CDTF">2016-05-13T09:00:00Z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