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Session -- Operating Model Redesign for Hughes Group</w:t>
      </w:r>
    </w:p>
    <w:p>
      <w:r>
        <w:t>The session reached one decision that shapes the rest: we will keep the baseline open for another two weeks instead of closing it this week, because the cost data still cannot separate two support functions that share a single cost center, and a baseline built over that gap would not hold up. The process map, the early options, and the client's read on pace all sit behind that decision. These minutes record who attended, what we covered, and who owns each next step.</w:t>
      </w:r>
    </w:p>
    <w:p>
      <w:pPr>
        <w:pStyle w:val="Heading2"/>
      </w:pPr>
      <w:r>
        <w:t>Present</w:t>
      </w:r>
    </w:p>
    <w:p>
      <w:pPr>
        <w:pStyle w:val="ListBullet"/>
      </w:pPr>
      <w:r>
        <w:t>Brenda Rodriguez, Senior Consultant</w:t>
      </w:r>
    </w:p>
    <w:p>
      <w:pPr>
        <w:pStyle w:val="ListBullet"/>
      </w:pPr>
      <w:r>
        <w:t>Jason Torres, Principal</w:t>
      </w:r>
    </w:p>
    <w:p>
      <w:pPr>
        <w:pStyle w:val="ListBullet"/>
      </w:pPr>
      <w:r>
        <w:t>Linda Gallegos, Chief Financial Officer, Hughes Group</w:t>
      </w:r>
    </w:p>
    <w:p>
      <w:pPr>
        <w:pStyle w:val="Heading2"/>
      </w:pPr>
      <w:r>
        <w:t>Where the baseline stands</w:t>
      </w:r>
    </w:p>
    <w:p>
      <w:r>
        <w:t>Brenda Rodriguez walked through the baseline. The process map is largely complete and lines up with what the operators describe, with the usual small gaps between the documented flow and the real one. The block is on the cost side: two support functions at Hughes Group report into one cost center, so we cannot yet say what each of them costs to run on its own. Without that split, any option we price later would rest on an assumption instead of a measured number. The finance team holds the underlying detail; it has not yet been broken out. Until it is, the cost picture stays provisional and the baseline cannot close.</w:t>
      </w:r>
    </w:p>
    <w:p>
      <w:pPr>
        <w:pStyle w:val="Heading2"/>
      </w:pPr>
      <w:r>
        <w:t>The test the client set</w:t>
      </w:r>
    </w:p>
    <w:p>
      <w:r>
        <w:t>Linda Gallegos was clear about the standard the redesign has to meet: her managers have to be able to run the new model after we leave, without a consultant in the room to interpret it for them. She has seen redesigns that looked clean on a chart and came apart in operation, and she does not want another one. We agreed to fold that test straight into how we weigh the options, so that an elegant model her team cannot operate does not count as a candidate, and to describe each option in terms of what it asks her people to do differently.</w:t>
      </w:r>
    </w:p>
    <w:p>
      <w:pPr>
        <w:pStyle w:val="Heading2"/>
      </w:pPr>
      <w:r>
        <w:t>Options and pace</w:t>
      </w:r>
    </w:p>
    <w:p>
      <w:r>
        <w:t>Jason Torres set out how the options will take shape once the baseline closes: two or three candidate models, each tested against the current state for what it costs and what it asks the organization to change. He was direct with the client that we will not show options before the baseline is solid, because options built on a shaky baseline waste everyone's time. Linda Gallegos pushed on timing, wanting to know whether the two-week hold puts the finish at risk. The read is that it does not, provided the cost split lands inside that window.</w:t>
      </w:r>
    </w:p>
    <w:p>
      <w:pPr>
        <w:pStyle w:val="Heading2"/>
      </w:pPr>
      <w:r>
        <w:t>Action items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Owner</w:t>
            </w:r>
          </w:p>
        </w:tc>
        <w:tc>
          <w:tcPr>
            <w:tcW w:type="dxa" w:w="2880"/>
          </w:tcPr>
          <w:p>
            <w:r>
              <w:rPr>
                <w:b/>
              </w:rPr>
              <w:t>Action</w:t>
            </w:r>
          </w:p>
        </w:tc>
        <w:tc>
          <w:tcPr>
            <w:tcW w:type="dxa" w:w="2880"/>
          </w:tcPr>
          <w:p>
            <w:r>
              <w:rPr>
                <w:b/>
              </w:rPr>
              <w:t>By when</w:t>
            </w:r>
          </w:p>
        </w:tc>
      </w:tr>
      <w:tr>
        <w:tc>
          <w:tcPr>
            <w:tcW w:type="dxa" w:w="2880"/>
          </w:tcPr>
          <w:p>
            <w:r>
              <w:t>Linda Gallegos</w:t>
            </w:r>
          </w:p>
        </w:tc>
        <w:tc>
          <w:tcPr>
            <w:tcW w:type="dxa" w:w="2880"/>
          </w:tcPr>
          <w:p>
            <w:r>
              <w:t>Have the finance team break the shared cost center into its two support functions, or point Brenda to the underlying detail</w:t>
            </w:r>
          </w:p>
        </w:tc>
        <w:tc>
          <w:tcPr>
            <w:tcW w:type="dxa" w:w="2880"/>
          </w:tcPr>
          <w:p>
            <w:r>
              <w:t>Within one week</w:t>
            </w:r>
          </w:p>
        </w:tc>
      </w:tr>
      <w:tr>
        <w:tc>
          <w:tcPr>
            <w:tcW w:type="dxa" w:w="2880"/>
          </w:tcPr>
          <w:p>
            <w:r>
              <w:t>Brenda Rodriguez</w:t>
            </w:r>
          </w:p>
        </w:tc>
        <w:tc>
          <w:tcPr>
            <w:tcW w:type="dxa" w:w="2880"/>
          </w:tcPr>
          <w:p>
            <w:r>
              <w:t>Rebuild the cost picture once the split is available and reconcile it to the process map</w:t>
            </w:r>
          </w:p>
        </w:tc>
        <w:tc>
          <w:tcPr>
            <w:tcW w:type="dxa" w:w="2880"/>
          </w:tcPr>
          <w:p>
            <w:r>
              <w:t>Two weeks</w:t>
            </w:r>
          </w:p>
        </w:tc>
      </w:tr>
      <w:tr>
        <w:tc>
          <w:tcPr>
            <w:tcW w:type="dxa" w:w="2880"/>
          </w:tcPr>
          <w:p>
            <w:r>
              <w:t>Jason Torres</w:t>
            </w:r>
          </w:p>
        </w:tc>
        <w:tc>
          <w:tcPr>
            <w:tcW w:type="dxa" w:w="2880"/>
          </w:tcPr>
          <w:p>
            <w:r>
              <w:t>Confirm the revised baseline date with the client and hold the first option review the following week</w:t>
            </w:r>
          </w:p>
        </w:tc>
        <w:tc>
          <w:tcPr>
            <w:tcW w:type="dxa" w:w="2880"/>
          </w:tcPr>
          <w:p>
            <w:r>
              <w:t>On close of baseline</w:t>
            </w:r>
          </w:p>
        </w:tc>
      </w:tr>
    </w:tbl>
    <w:p>
      <w:r>
        <w:t>The next step is the cost split. Once the finance team returns it, Brenda will close the baseline and Jason will set the date for the first option review; nothing downstream moves until that one number is separated.</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Operating Model Redesign for Hughes Group</dc:title>
  <dc:subject/>
  <dc:creator>Brenda Rodriguez</dc:creator>
  <cp:keywords/>
  <dc:description>generated by python-docx</dc:description>
  <cp:lastModifiedBy>Brenda Rodriguez</cp:lastModifiedBy>
  <cp:revision>1</cp:revision>
  <dcterms:created xsi:type="dcterms:W3CDTF">2008-08-15T09:00:00Z</dcterms:created>
  <dcterms:modified xsi:type="dcterms:W3CDTF">2008-08-15T09:00:00Z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