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Operating Model Redesign</w:t>
      </w:r>
    </w:p>
    <w:p>
      <w:r>
        <w:t>These are the minutes of the working session on the operating-model redesign for Hughes Group, recorded by Brenda Rodriguez.</w:t>
      </w:r>
    </w:p>
    <w:p>
      <w:pPr>
        <w:pStyle w:val="Heading2"/>
      </w:pPr>
      <w:r>
        <w:t>Attendees</w:t>
      </w:r>
    </w:p>
    <w:p>
      <w:pPr>
        <w:pStyle w:val="ListBullet"/>
      </w:pPr>
      <w:r>
        <w:t>Jason Torres, Principal, Calderwood Partners</w:t>
      </w:r>
    </w:p>
    <w:p>
      <w:pPr>
        <w:pStyle w:val="ListBullet"/>
      </w:pPr>
      <w:r>
        <w:t>Brenda Rodriguez, Senior Consultant, Calderwood Partners</w:t>
      </w:r>
    </w:p>
    <w:p>
      <w:pPr>
        <w:pStyle w:val="ListBullet"/>
      </w:pPr>
      <w:r>
        <w:t>Linda Gallegos, Chief Financial Officer, Hughes Group</w:t>
      </w:r>
    </w:p>
    <w:p>
      <w:pPr>
        <w:pStyle w:val="Heading2"/>
      </w:pPr>
      <w:r>
        <w:t>What we covered</w:t>
      </w:r>
    </w:p>
    <w:p>
      <w:r>
        <w:t>The session settled the shape of the final recommendation. We agreed that the redesign is ready to move from design into implementation planning, and that the work left is to close a short list of open items before the final readout, not to reopen the model itself.</w:t>
      </w:r>
    </w:p>
    <w:p>
      <w:r>
        <w:t>Brenda Rodriguez walked the group through the revised cost baseline. The structural savings held up under the questions Linda Gallegos raised in the last session. The figures that had leaned on softer assumptions were either confirmed against the ledger or dropped; where a number could not be supported, we pulled it from the case rather than carry it forward with a caveat.</w:t>
      </w:r>
    </w:p>
    <w:p>
      <w:r>
        <w:t>Linda Gallegos pressed on the transition cost, which is the part of the estimate she is least willing to take on faith. Jason Torres agreed that the one-time cost of the move is the number most likely to swing the decision, and the team committed to bringing a fully built transition estimate to the readout instead of a range.</w:t>
      </w:r>
    </w:p>
    <w:p>
      <w:r>
        <w:t>The group also reviewed the draft service definitions for the consolidated functions. Most were accepted as written. Two, covering month-end close and vendor onboarding, were marked open because the response times they promise depend on staffing decisions that have not been made. Brenda Rodriguez noted that those two definitions should not be finalized until the staffing questions are answered, because the new organization should not promise a response time it may not be able to meet.</w:t>
      </w:r>
    </w:p>
    <w:p>
      <w:r>
        <w:t>Brenda Rodriguez then took the group through the draft implementation plan. It sequences the move in three stages: standing up the shared-services organization first, migrating the routine transaction work next, and shifting the judgment-heavy tasks last, so the units keep running while the change takes hold. Linda Gallegos asked that each stage carry a clear owner on the Hughes Group side and a checkpoint where the leadership team can hold or adjust the pace. Jason Torres agreed and said the plan would name those owners once the staffing questions are settled.</w:t>
      </w:r>
    </w:p>
    <w:p>
      <w:r>
        <w:t>Jason Torres and Linda Gallegos closed on how the change would reach the functional leads. The group agreed that the leads should hear the direction from Hughes Group management rather than from the consulting team, and that the order of those conversations should be set before any wider announcement.</w:t>
      </w:r>
    </w:p>
    <w:p>
      <w:r>
        <w:t>Before the action items were set, the group agreed on what the final readout should contain. It will present the recommendation, the two options behind it, the validated savings, and the transition estimate, with the open service definitions flagged rather than left out. Linda Gallegos said the leadership team would want the assumptions laid out next to the numbers, so that the people taking the decision can see where the estimate is firm and where it still rests on judgment.</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By when</w:t>
            </w:r>
          </w:p>
        </w:tc>
      </w:tr>
      <w:tr>
        <w:tc>
          <w:tcPr>
            <w:tcW w:type="dxa" w:w="2880"/>
          </w:tcPr>
          <w:p>
            <w:r>
              <w:t>Finalize the transition cost estimate and document the assumptions behind it</w:t>
            </w:r>
          </w:p>
        </w:tc>
        <w:tc>
          <w:tcPr>
            <w:tcW w:type="dxa" w:w="2880"/>
          </w:tcPr>
          <w:p>
            <w:r>
              <w:t>Brenda Rodriguez</w:t>
            </w:r>
          </w:p>
        </w:tc>
        <w:tc>
          <w:tcPr>
            <w:tcW w:type="dxa" w:w="2880"/>
          </w:tcPr>
          <w:p>
            <w:r>
              <w:t>Before the final readout</w:t>
            </w:r>
          </w:p>
        </w:tc>
      </w:tr>
      <w:tr>
        <w:tc>
          <w:tcPr>
            <w:tcW w:type="dxa" w:w="2880"/>
          </w:tcPr>
          <w:p>
            <w:r>
              <w:t>Confirm the date and audience for the final readout with the leadership team</w:t>
            </w:r>
          </w:p>
        </w:tc>
        <w:tc>
          <w:tcPr>
            <w:tcW w:type="dxa" w:w="2880"/>
          </w:tcPr>
          <w:p>
            <w:r>
              <w:t>Jason Torres</w:t>
            </w:r>
          </w:p>
        </w:tc>
        <w:tc>
          <w:tcPr>
            <w:tcW w:type="dxa" w:w="2880"/>
          </w:tcPr>
          <w:p>
            <w:r>
              <w:t>This week</w:t>
            </w:r>
          </w:p>
        </w:tc>
      </w:tr>
      <w:tr>
        <w:tc>
          <w:tcPr>
            <w:tcW w:type="dxa" w:w="2880"/>
          </w:tcPr>
          <w:p>
            <w:r>
              <w:t>Provide the remaining finance-system extracts needed to close the estimate</w:t>
            </w:r>
          </w:p>
        </w:tc>
        <w:tc>
          <w:tcPr>
            <w:tcW w:type="dxa" w:w="2880"/>
          </w:tcPr>
          <w:p>
            <w:r>
              <w:t>Linda Gallegos</w:t>
            </w:r>
          </w:p>
        </w:tc>
        <w:tc>
          <w:tcPr>
            <w:tcW w:type="dxa" w:w="2880"/>
          </w:tcPr>
          <w:p>
            <w:r>
              <w:t>By the end of next week</w:t>
            </w:r>
          </w:p>
        </w:tc>
      </w:tr>
      <w:tr>
        <w:tc>
          <w:tcPr>
            <w:tcW w:type="dxa" w:w="2880"/>
          </w:tcPr>
          <w:p>
            <w:r>
              <w:t>Set the order for briefing the functional leads on the coming change</w:t>
            </w:r>
          </w:p>
        </w:tc>
        <w:tc>
          <w:tcPr>
            <w:tcW w:type="dxa" w:w="2880"/>
          </w:tcPr>
          <w:p>
            <w:r>
              <w:t>Linda Gallegos</w:t>
            </w:r>
          </w:p>
        </w:tc>
        <w:tc>
          <w:tcPr>
            <w:tcW w:type="dxa" w:w="2880"/>
          </w:tcPr>
          <w:p>
            <w:r>
              <w:t>Ahead of the readout</w:t>
            </w:r>
          </w:p>
        </w:tc>
      </w:tr>
    </w:tbl>
    <w:p>
      <w:r>
        <w:t>The next step is straightforward. Brenda Rodriguez will circulate the completed transition estimate to Linda Gallegos, and once she has it in hand the readout can be scheduled.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Operating Model Redesign for Hughes Group</dc:title>
  <dc:subject/>
  <dc:creator>Brenda Rodriguez</dc:creator>
  <cp:keywords/>
  <dc:description>generated by python-docx</dc:description>
  <cp:lastModifiedBy>Brenda Rodriguez</cp:lastModifiedBy>
  <cp:revision>1</cp:revision>
  <dcterms:created xsi:type="dcterms:W3CDTF">2008-11-14T09:00:00Z</dcterms:created>
  <dcterms:modified xsi:type="dcterms:W3CDTF">2008-11-14T09:00:00Z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