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Minutes of the Working Session</w:t>
      </w:r>
    </w:p>
    <w:p>
      <w:r>
        <w:t>The session reached one operative conclusion: the transaction data now supports a reliable read of how price and discount are set, and the analysis moves this week from assembling the record to testing it. What follows records who attended, what was discussed, and the actions each side agreed to before we next meet.</w:t>
      </w:r>
    </w:p>
    <w:p>
      <w:pPr>
        <w:pStyle w:val="Heading2"/>
      </w:pPr>
      <w:r>
        <w:t>Present</w:t>
      </w:r>
    </w:p>
    <w:p>
      <w:pPr>
        <w:pStyle w:val="ListBullet"/>
      </w:pPr>
      <w:r>
        <w:t>Matthew Parrish, Research Associate, Calderwood Partners (minutes)</w:t>
      </w:r>
    </w:p>
    <w:p>
      <w:pPr>
        <w:pStyle w:val="ListBullet"/>
      </w:pPr>
      <w:r>
        <w:t>Nicole Griffin, Research Associate, Calderwood Partners</w:t>
      </w:r>
    </w:p>
    <w:p>
      <w:pPr>
        <w:pStyle w:val="ListBullet"/>
      </w:pPr>
      <w:r>
        <w:t>Jason Torres, Principal, Calderwood Partners</w:t>
      </w:r>
    </w:p>
    <w:p>
      <w:pPr>
        <w:pStyle w:val="ListBullet"/>
      </w:pPr>
      <w:r>
        <w:t>Linda Gallegos, Chief Financial Officer, Hughes Group</w:t>
      </w:r>
    </w:p>
    <w:p>
      <w:pPr>
        <w:pStyle w:val="Heading2"/>
      </w:pPr>
      <w:r>
        <w:t>Discussion</w:t>
      </w:r>
    </w:p>
    <w:p>
      <w:r>
        <w:t>Nicole Griffin reported that the client's records on territory and account assignment are now complete and reconciled, and that the transaction extract covering the last two years arrived in full, which was the dependency the earlier weeks had waited on. I noted, for the record, that the discount field in that extract carries a number of blanks across the first several months of the period, and that we will treat those months as partial rather than read a zero discount into them, since a blank and a zero are not the same thing and the difference bears on the conclusion.</w:t>
      </w:r>
    </w:p>
    <w:p>
      <w:r>
        <w:t>Jason Torres framed the emerging read for Linda Gallegos: the sales organization is coherently structured and its territories are sensibly drawn, but the discipline around discount appears to slip well below the executive level, where a good deal of price is given away without a corresponding record of why. Linda Gallegos confirmed that discount authority is delegated more widely than the written policy would suggest, and asked that we quantify the gap between the policy and the practice rather than describe it in general terms, which the team accepted as the sharper and more useful framing.</w:t>
      </w:r>
    </w:p>
    <w:p>
      <w:r>
        <w:t>On the comparables, I reported that the outside benchmark set is assembled but not yet final, since two of the reference organizations report their sales figures on a basis I have not yet confirmed is like for like; until that is settled I would rather hold the comparison than publish a number that looks clean and is not.</w:t>
      </w:r>
    </w:p>
    <w:p>
      <w:r>
        <w:t>We closed on the pipeline and on access. The pipeline extract is thinner than the transaction record, with the stage history missing for a stretch of the earlier period, and I asked that we treat what it shows as indicative until we have tested it against the account managers' own account of how deals move. To that end Nicole Griffin will arrange two interviews with the managers who carry the largest customers, since the detail behind a lost deal tends to live with the person who worked it and seldom survives into the system of record. Jason Torres asked that each interview be scheduled through Linda Gallegos rather than booked directly, so that the client hears a single voice from us on access as on everything else, and the team agreed.</w:t>
      </w:r>
    </w:p>
    <w:p>
      <w:pPr>
        <w:pStyle w:val="Heading2"/>
      </w:pPr>
      <w:r>
        <w:t>Action Items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No.</w:t>
            </w:r>
          </w:p>
        </w:tc>
        <w:tc>
          <w:tcPr>
            <w:tcW w:type="dxa" w:w="2160"/>
          </w:tcPr>
          <w:p>
            <w:r>
              <w:rPr>
                <w:b/>
              </w:rPr>
              <w:t>Action</w:t>
            </w:r>
          </w:p>
        </w:tc>
        <w:tc>
          <w:tcPr>
            <w:tcW w:type="dxa" w:w="2160"/>
          </w:tcPr>
          <w:p>
            <w:r>
              <w:rPr>
                <w:b/>
              </w:rPr>
              <w:t>Owner</w:t>
            </w:r>
          </w:p>
        </w:tc>
        <w:tc>
          <w:tcPr>
            <w:tcW w:type="dxa" w:w="2160"/>
          </w:tcPr>
          <w:p>
            <w:r>
              <w:rPr>
                <w:b/>
              </w:rPr>
              <w:t>Due</w:t>
            </w:r>
          </w:p>
        </w:tc>
      </w:tr>
      <w:tr>
        <w:tc>
          <w:tcPr>
            <w:tcW w:type="dxa" w:w="2160"/>
          </w:tcPr>
          <w:p>
            <w:r>
              <w:t>1</w:t>
            </w:r>
          </w:p>
        </w:tc>
        <w:tc>
          <w:tcPr>
            <w:tcW w:type="dxa" w:w="2160"/>
          </w:tcPr>
          <w:p>
            <w:r>
              <w:t>Reconcile the written discount policy against the transaction record and quantify the gap between policy and practice</w:t>
            </w:r>
          </w:p>
        </w:tc>
        <w:tc>
          <w:tcPr>
            <w:tcW w:type="dxa" w:w="2160"/>
          </w:tcPr>
          <w:p>
            <w:r>
              <w:t>Matthew Parrish</w:t>
            </w:r>
          </w:p>
        </w:tc>
        <w:tc>
          <w:tcPr>
            <w:tcW w:type="dxa" w:w="2160"/>
          </w:tcPr>
          <w:p>
            <w:r>
              <w:t>Next session</w:t>
            </w:r>
          </w:p>
        </w:tc>
      </w:tr>
      <w:tr>
        <w:tc>
          <w:tcPr>
            <w:tcW w:type="dxa" w:w="2160"/>
          </w:tcPr>
          <w:p>
            <w:r>
              <w:t>2</w:t>
            </w:r>
          </w:p>
        </w:tc>
        <w:tc>
          <w:tcPr>
            <w:tcW w:type="dxa" w:w="2160"/>
          </w:tcPr>
          <w:p>
            <w:r>
              <w:t>Assemble the discount-authority records and note where authority sits against where it is exercised</w:t>
            </w:r>
          </w:p>
        </w:tc>
        <w:tc>
          <w:tcPr>
            <w:tcW w:type="dxa" w:w="2160"/>
          </w:tcPr>
          <w:p>
            <w:r>
              <w:t>Nicole Griffin</w:t>
            </w:r>
          </w:p>
        </w:tc>
        <w:tc>
          <w:tcPr>
            <w:tcW w:type="dxa" w:w="2160"/>
          </w:tcPr>
          <w:p>
            <w:r>
              <w:t>Before next session</w:t>
            </w:r>
          </w:p>
        </w:tc>
      </w:tr>
      <w:tr>
        <w:tc>
          <w:tcPr>
            <w:tcW w:type="dxa" w:w="2160"/>
          </w:tcPr>
          <w:p>
            <w:r>
              <w:t>3</w:t>
            </w:r>
          </w:p>
        </w:tc>
        <w:tc>
          <w:tcPr>
            <w:tcW w:type="dxa" w:w="2160"/>
          </w:tcPr>
          <w:p>
            <w:r>
              <w:t>Provide the current delegation-of-authority schedule for discount approval</w:t>
            </w:r>
          </w:p>
        </w:tc>
        <w:tc>
          <w:tcPr>
            <w:tcW w:type="dxa" w:w="2160"/>
          </w:tcPr>
          <w:p>
            <w:r>
              <w:t>Linda Gallegos</w:t>
            </w:r>
          </w:p>
        </w:tc>
        <w:tc>
          <w:tcPr>
            <w:tcW w:type="dxa" w:w="2160"/>
          </w:tcPr>
          <w:p>
            <w:r>
              <w:t>Within the week</w:t>
            </w:r>
          </w:p>
        </w:tc>
      </w:tr>
    </w:tbl>
    <w:p>
      <w:r>
        <w:t>The item that gates the next session is the third: until the delegation schedule is in hand we cannot say precisely how far actual authority departs from the written rule, which is the question the session turned on. Once Linda Gallegos has sent it, I will circulate the reconciled discount figures ahead of the meeting so that no one reads them cold.</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Sales Effectiveness for Hughes Group</dc:title>
  <dc:subject/>
  <dc:creator>Matthew Parrish</dc:creator>
  <cp:keywords/>
  <dc:description>generated by python-docx</dc:description>
  <cp:lastModifiedBy>Matthew Parrish</cp:lastModifiedBy>
  <cp:revision>1</cp:revision>
  <dcterms:created xsi:type="dcterms:W3CDTF">2016-04-28T09:00:00Z</dcterms:created>
  <dcterms:modified xsi:type="dcterms:W3CDTF">2016-04-28T09:00:00Z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