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Closing Working Session</w:t>
      </w:r>
    </w:p>
    <w:p>
      <w:r>
        <w:t>The session settled the last open question before delivery: the quantified gap between the client's written discount policy and its actual practice is large enough to anchor the review's central recommendation, and the team will carry that finding into the final report rather than reopen it. What follows records who attended, what was discussed, and the actions that remain before the work is drawn together.</w:t>
      </w:r>
    </w:p>
    <w:p>
      <w:pPr>
        <w:pStyle w:val="Heading2"/>
      </w:pPr>
      <w:r>
        <w:t>Present</w:t>
      </w:r>
    </w:p>
    <w:p>
      <w:pPr>
        <w:pStyle w:val="ListBullet"/>
      </w:pPr>
      <w:r>
        <w:t>Matthew Parrish, Research Associate, Calderwood Partners (minutes)</w:t>
      </w:r>
    </w:p>
    <w:p>
      <w:pPr>
        <w:pStyle w:val="ListBullet"/>
      </w:pPr>
      <w:r>
        <w:t>Nicole Griffin, Research Associate, Calderwood Partners</w:t>
      </w:r>
    </w:p>
    <w:p>
      <w:pPr>
        <w:pStyle w:val="ListBullet"/>
      </w:pPr>
      <w:r>
        <w:t>Jason Torres, Principal, Calderwood Partners</w:t>
      </w:r>
    </w:p>
    <w:p>
      <w:pPr>
        <w:pStyle w:val="ListBullet"/>
      </w:pPr>
      <w:r>
        <w:t>Linda Gallegos, Chief Financial Officer, Hughes Group</w:t>
      </w:r>
    </w:p>
    <w:p>
      <w:pPr>
        <w:pStyle w:val="Heading2"/>
      </w:pPr>
      <w:r>
        <w:t>Discussion</w:t>
      </w:r>
    </w:p>
    <w:p>
      <w:r>
        <w:t>I opened with the quantified result, since it is the number the engagement has been building toward. With the delegation-of-authority schedule now reconciled against the transaction record, the discount given away outside the written policy proved both larger and more concentrated among a handful of accounts than the earlier weeks had suggested; I had held the figure provisional until the two outstanding comparables were confirmed, and, both now resting on a like basis, the benchmark set stands behind it. Nicole Griffin confirmed that every figure in the draft exhibits traces to a source in the shared file, so that your own people can rerun the analysis after we have gone.</w:t>
      </w:r>
    </w:p>
    <w:p>
      <w:r>
        <w:t>Jason Torres set the finding in front of Linda Gallegos plainly: the sales organization is soundly built, but a meaningful share of its price is surrendered below the executive level without a recorded reason, and closing that gap is worth more to the business than any change to how the territories are drawn. Linda Gallegos did not dispute the read, and asked only that the final report separate clearly what the evidence establishes from what it merely indicates, so that her board is given findings and not impressions; the team agreed, and I noted for the record that the pipeline conclusion, which is thinner, will be marked as the weaker of the two.</w:t>
      </w:r>
    </w:p>
    <w:p>
      <w:r>
        <w:t>One matter the earlier sessions had left open was settled here rather than carried forward. The team had weighed pressing the pipeline analysis deeper against spending the closing time on the write-up; with the discount finding now firm and the pipeline evidence unlikely to firm up further in the days remaining, we agreed to hold the pipeline read where it stands, mark its limits honestly in the report, and put the closing effort into the recommendation the client can actually act on.</w:t>
      </w:r>
    </w:p>
    <w:p>
      <w:pPr>
        <w:pStyle w:val="Heading2"/>
      </w:pPr>
      <w:r>
        <w:t>Action Items</w:t>
      </w:r>
    </w:p>
    <w:p>
      <w:pPr>
        <w:pStyle w:val="ListBullet"/>
      </w:pPr>
      <w:r>
        <w:t>1. Draft the integrated findings and circulate the exhibits for a final team review. Owner: Nicole Griffin. Due: within the week.</w:t>
      </w:r>
    </w:p>
    <w:p>
      <w:pPr>
        <w:pStyle w:val="ListBullet"/>
      </w:pPr>
      <w:r>
        <w:t>2. Stress-test the two judgments the recommendation rests on, the size of the discount gap and the late-cycle pipeline loss, against the reconciled record. Owner: Matthew Parrish. Due: before delivery.</w:t>
      </w:r>
    </w:p>
    <w:p>
      <w:pPr>
        <w:pStyle w:val="ListBullet"/>
      </w:pPr>
      <w:r>
        <w:t>3. Confirm the internal figures the report will cite, so that nothing is attributed to the client that the client has not seen. Owner: Linda Gallegos. Due: before delivery.</w:t>
      </w:r>
    </w:p>
    <w:p>
      <w:r>
        <w:t>The item that gates delivery is the first: the closing review and the final report are both built on the draft findings, and until they are circulated the last checks cannot begin. Once Nicole Griffin has sent them, I will run every exhibit back to its source one final time before anything leaves the firm under our name.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Sales Effectiveness for Hughes Group</dc:title>
  <dc:subject/>
  <dc:creator>Matthew Parrish</dc:creator>
  <cp:keywords/>
  <dc:description>generated by python-docx</dc:description>
  <cp:lastModifiedBy>Matthew Parrish</cp:lastModifiedBy>
  <cp:revision>1</cp:revision>
  <dcterms:created xsi:type="dcterms:W3CDTF">2016-07-27T09:00:00Z</dcterms:created>
  <dcterms:modified xsi:type="dcterms:W3CDTF">2016-07-27T09:00:00Z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