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Cynthia Hart, Nicole Griffin</w:t>
        <w:br/>
        <w:t>From: Melissa Casey</w:t>
        <w:br/>
        <w:t>Re: Kickoff of the commercial due diligence for Johnson, Lopez and Brooks</w:t>
      </w:r>
    </w:p>
    <w:p>
      <w:r>
        <w:t>The engagement opens on June 16, 2015, and this memo sets down how we begin so that the three of us are in step from the first day. The aim of the opening weeks is narrow and worth stating plainly: we assemble a clean, sourced base of evidence on the market and on the business under review, and we form no commercial judgment yet. Nothing we produce in this phase is a conclusion; it is the foundation the later analysis stands on, and it has to be solid before we build anything on it.</w:t>
      </w:r>
    </w:p>
    <w:p>
      <w:pPr>
        <w:pStyle w:val="Heading2"/>
      </w:pPr>
      <w:r>
        <w:t>The opening weeks</w:t>
      </w:r>
    </w:p>
    <w:p>
      <w:pPr>
        <w:pStyle w:val="ListBullet"/>
      </w:pPr>
      <w:r>
        <w:t>Market and demand. Size the market the business serves and establish the direction and pace at which it is moving, with every figure tied to a named source rather than to a recollection.</w:t>
      </w:r>
    </w:p>
    <w:p>
      <w:pPr>
        <w:pStyle w:val="ListBullet"/>
      </w:pPr>
      <w:r>
        <w:t>Competitive position. Map the principal competitors and the position the business holds among them, and mark where that position looks durable and where it looks exposed.</w:t>
      </w:r>
    </w:p>
    <w:p>
      <w:pPr>
        <w:pStyle w:val="ListBullet"/>
      </w:pPr>
      <w:r>
        <w:t>Customers and revenue. Assemble what the public record shows of the customer base and the composition of revenue, and note plainly where the record thins out, so we know what to ask the client for.</w:t>
      </w:r>
    </w:p>
    <w:p>
      <w:pPr>
        <w:pStyle w:val="ListBullet"/>
      </w:pPr>
      <w:r>
        <w:t>Source discipline. Keep every chart and table tied to its source from the first draft, so that no exhibit ever reaches a status pack unsourced and no citation has to be chased after the fact.</w:t>
      </w:r>
    </w:p>
    <w:p>
      <w:r>
        <w:t>Cynthia Hart will take the market and competitive reading, since that is the desk work she does best, and Nicole Griffin will keep the source library in order so that neither of you rebuilds a document the other has already pulled. I will hold the exhibit templates and the running status pack, and I would ask that anything meant for a client-facing page reach me with its source attached, because an unsourced exhibit is an unfinished one and I would rather settle the citation while it is still fresh.</w:t>
      </w:r>
    </w:p>
    <w:p>
      <w:r>
        <w:t>Our sponsor on the client side is Barbara Banks, the Chief Operating Officer, and every request for data or access should route through her so that Johnson, Lopez and Brooks hears a single voice from us. Set the context of a request in a sentence before you make it, so she can see why we are asking, and plan the requests together rather than send them piecemeal as they occur to us.</w:t>
      </w:r>
    </w:p>
    <w:p>
      <w:r>
        <w:t>Two dependencies will set the pace of these weeks. The first is the reach of the public record, which will carry the market and competitive reading a long way but will thin out on the customer and revenue detail, where we will have to lean on what Barbara Banks's team can give us. The second is the freshness of the trade sources we rely on; where a source is dated, mark it as such on the exhibit rather than let its age go unrecorded, and flag it to me the moment it looks material.</w:t>
      </w:r>
    </w:p>
    <w:p>
      <w:r>
        <w:t>The first step is the consolidated information request. Draft it between you by the end of next week and send it to me, and I will fold in the client contacts and the exhibit numbering before it goes out. Once that is in Barbara Banks's hands we can begin the market reading in earnest, and the two of you should hold a short standing check-in with me each week so that anything blocked surfaces early rather than at a review.</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Commercial Due Diligence for Johnson, Lopez and Brooks</dc:title>
  <dc:subject/>
  <dc:creator>Melissa Casey</dc:creator>
  <cp:keywords/>
  <dc:description>generated by python-docx</dc:description>
  <cp:lastModifiedBy>Melissa Casey</cp:lastModifiedBy>
  <cp:revision>1</cp:revision>
  <dcterms:created xsi:type="dcterms:W3CDTF">2015-06-19T09:00:00Z</dcterms:created>
  <dcterms:modified xsi:type="dcterms:W3CDTF">2015-06-19T09:00:00Z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