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Due Diligence: Status Report</w:t>
      </w:r>
    </w:p>
    <w:p>
      <w:r>
        <w:t>This report sets out where the commercial due diligence for Johnson, Lopez and Brooks stands at the midpoint of the engagement, what the team has completed since the work began, what remains ahead of us, and the risks worth watching between now and the close. The work is on schedule and is being delivered within the agreed fee of $112,500, and nothing in the evidence gathered so far has forced a change to the scope set out in the engagement letter.</w:t>
      </w:r>
    </w:p>
    <w:p>
      <w:r>
        <w:t>The team has held to its planned cadence of working sessions with your office, and the shared engagement file now holds a single sourced record that your own people will be able to work from after we have gone. I have written this report to be read on its own, so that a colleague who has not sat in the sessions can take the state of the work from it without a briefing.</w:t>
      </w:r>
    </w:p>
    <w:p>
      <w:pPr>
        <w:pStyle w:val="Heading1"/>
      </w:pPr>
      <w:r>
        <w:t>Where Things Stand</w:t>
      </w:r>
    </w:p>
    <w:p>
      <w:r>
        <w:t>The base of external evidence on the market, the competitive field, and the customer picture is now substantially in place, and the analysis has moved from gathering to testing. The picture that is emerging is a favorable but qualified one: a durable position in the core segment, set against a thinner position at the edges and a concentration of revenue among a small number of large accounts.</w:t>
      </w:r>
    </w:p>
    <w:p>
      <w:r>
        <w:t>None of these reads as a settled conclusion yet, because each turns in part on internal detail that your team is now assembling for us. The value of the second half of the engagement lies precisely in closing that gap, so that what we finally put in front of you rests on your own numbers rather than on the public record's approximation of them.</w:t>
      </w:r>
    </w:p>
    <w:p>
      <w:pPr>
        <w:pStyle w:val="Heading1"/>
      </w:pPr>
      <w:r>
        <w:t>Completed This Period</w:t>
      </w:r>
    </w:p>
    <w:p>
      <w:pPr>
        <w:pStyle w:val="ListBullet"/>
      </w:pPr>
      <w:r>
        <w:t>Cynthia Hart completed the market sizing and the competitive reading for the two largest segments, each figure traced to a named source.</w:t>
      </w:r>
    </w:p>
    <w:p>
      <w:pPr>
        <w:pStyle w:val="ListBullet"/>
      </w:pPr>
      <w:r>
        <w:t>Nicole Griffin assembled and organized the public filings and trade sources, so that the shared engagement file holds a single ordered record the team works from.</w:t>
      </w:r>
    </w:p>
    <w:p>
      <w:pPr>
        <w:pStyle w:val="ListBullet"/>
      </w:pPr>
      <w:r>
        <w:t>Melissa Casey built the customer and revenue exhibits and marked on each the point at which the external evidence gives out and the client's own numbers must carry the analysis on.</w:t>
      </w:r>
    </w:p>
    <w:p>
      <w:pPr>
        <w:pStyle w:val="ListBullet"/>
      </w:pPr>
      <w:r>
        <w:t>The team held its scheduled working session with your office, at which the current read was walked through segment by segment and the open questions for the second half were agreed rather than deferred.</w:t>
      </w:r>
    </w:p>
    <w:p>
      <w:pPr>
        <w:pStyle w:val="Heading1"/>
      </w:pPr>
      <w:r>
        <w:t>The Weeks Ahead</w:t>
      </w:r>
    </w:p>
    <w:p>
      <w:r>
        <w:t>The next phase reconciles the external picture against the internal customer and revenue detail your team is preparing, which is where the revenue-quality question is genuinely settled rather than estimated. In parallel, Cynthia Hart will close the competitive reading on the two remaining segments so that the segment map is complete before we draw the findings together.</w:t>
      </w:r>
    </w:p>
    <w:p>
      <w:r>
        <w:t>Once the internal detail is in hand and reconciled, we expect to bring a first integrated read of the commercial case to a working session, framed as a set of findings you can take apart before any of them is treated as settled. The closing weeks after that go to the write-up and to stress-testing the two or three judgments the commercial case turns on, so that the final report distinguishes clearly between what the evidence establishes and what it only suggests.</w:t>
      </w:r>
    </w:p>
    <w:p>
      <w:pPr>
        <w:pStyle w:val="Heading1"/>
      </w:pPr>
      <w:r>
        <w:t>Risks and Watch Items</w:t>
      </w:r>
    </w:p>
    <w:p>
      <w:r>
        <w:t>Two items carry the schedule, and I would rather set them down now than have either surface late. The first is the timing of the internal customer detail: the revenue-quality analysis cannot close until it arrives, and a week of delay there is a week the phase does not move, so the sooner your team can release it the more comfortably we hold the finish.</w:t>
      </w:r>
    </w:p>
    <w:p>
      <w:r>
        <w:t>The second is the revenue concentration itself, which the external record only hints at and which the internal numbers will either confirm or soften. It is the single point on which the commercial case most depends, and until we have reconciled it against your own accounts we are holding it open deliberately rather than reporting it as resolved.</w:t>
      </w:r>
    </w:p>
    <w:p>
      <w:r>
        <w:t>Prepared by Melissa Casey, Research Associate, Calderwood Partners.</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4A2E2A"/>
        <w:sz w:val="28"/>
      </w:rPr>
      <w:t>Calderwood Partners LLC</w:t>
    </w:r>
  </w:p>
  <w:p>
    <w:r>
      <w:rPr>
        <w:sz w:val="18"/>
      </w:rPr>
      <w:t>www.calderwoodpartners.com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Calderwood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Commercial Due Diligence for Johnson, Lopez and Brooks</dc:title>
  <dc:subject/>
  <dc:creator>Melissa Casey</dc:creator>
  <cp:keywords/>
  <dc:description>generated by python-docx</dc:description>
  <cp:lastModifiedBy>Melissa Casey</cp:lastModifiedBy>
  <cp:revision>1</cp:revision>
  <dcterms:created xsi:type="dcterms:W3CDTF">2015-10-06T09:00:00Z</dcterms:created>
  <dcterms:modified xsi:type="dcterms:W3CDTF">2015-10-06T09:00:00Z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