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 of a Working Session</w:t>
      </w:r>
    </w:p>
    <w:p>
      <w:r>
        <w:t>These minutes record the working session held on the commercial due diligence for Johnson, Lopez and Brooks, at which the engagement team and the client reviewed the evidence gathered so far and settled which questions the second half of the work should take up. They set down who was present, what was discussed, and the actions each side agreed to carry before we meet again.</w:t>
      </w:r>
    </w:p>
    <w:p>
      <w:pPr>
        <w:pStyle w:val="Heading2"/>
      </w:pPr>
      <w:r>
        <w:t>Present</w:t>
      </w:r>
    </w:p>
    <w:p>
      <w:pPr>
        <w:pStyle w:val="ListBullet"/>
      </w:pPr>
      <w:r>
        <w:t>Nicole Griffin, Research Associate, Calderwood Partners (minutes)</w:t>
      </w:r>
    </w:p>
    <w:p>
      <w:pPr>
        <w:pStyle w:val="ListBullet"/>
      </w:pPr>
      <w:r>
        <w:t>Melissa Casey, Research Associate, Calderwood Partners</w:t>
      </w:r>
    </w:p>
    <w:p>
      <w:pPr>
        <w:pStyle w:val="ListBullet"/>
      </w:pPr>
      <w:r>
        <w:t>Cynthia Hart, Research Associate, Calderwood Partners</w:t>
      </w:r>
    </w:p>
    <w:p>
      <w:pPr>
        <w:pStyle w:val="ListBullet"/>
      </w:pPr>
      <w:r>
        <w:t>Barbara Banks, Chief Operating Officer, Johnson, Lopez and Brooks</w:t>
      </w:r>
    </w:p>
    <w:p>
      <w:pPr>
        <w:pStyle w:val="Heading2"/>
      </w:pPr>
      <w:r>
        <w:t>Discussion</w:t>
      </w:r>
    </w:p>
    <w:p>
      <w:r>
        <w:t>Cynthia Hart walked the group through the market and competitive reading, which is now substantially complete for the two largest segments and under way on the rest. Her account was that the market is growing steadily rather than sharply, and that the business under review holds a defensible position in its core segment but a thinner one at the edges, where two larger competitors have been gaining. Nicole Griffin noted where each figure in the reading traces back, so that the client could see the sourcing rather than take the conclusions on trust.</w:t>
      </w:r>
    </w:p>
    <w:p>
      <w:r>
        <w:t>We then turned to the customers and the revenue, where the public record has taken us only so far. Melissa Casey set out the exhibits she has built to date and was careful to mark, on each one, the point at which the external evidence gives out and the client's own numbers would have to carry the analysis further. Barbara Banks confirmed that the internal customer detail can be made available, and observed from her own vantage that a handful of the largest accounts sit behind a disproportionate share of revenue, which is the sort of concentration the diligence exists to test rather than to assume.</w:t>
      </w:r>
    </w:p>
    <w:p>
      <w:r>
        <w:t>One question we left open by agreement, since it belongs to a later stage of the work. The team can either press the competitive reading deeper into the two adjacent segments, which is the more thorough course, or hold the segment map where it is and put the freed time into the revenue-quality analysis, which is the more pointed one. No one pressed for a decision in the room, because the choice turns on what the internal customer detail shows once we have it, and we agreed to settle it at the next session rather than guess at it now.</w:t>
      </w:r>
    </w:p>
    <w:p>
      <w:pPr>
        <w:pStyle w:val="Heading2"/>
      </w:pPr>
      <w:r>
        <w:t>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Due</w:t>
            </w:r>
          </w:p>
        </w:tc>
      </w:tr>
      <w:tr>
        <w:tc>
          <w:tcPr>
            <w:tcW w:type="dxa" w:w="2160"/>
          </w:tcPr>
          <w:p>
            <w:r>
              <w:t>1</w:t>
            </w:r>
          </w:p>
        </w:tc>
        <w:tc>
          <w:tcPr>
            <w:tcW w:type="dxa" w:w="2160"/>
          </w:tcPr>
          <w:p>
            <w:r>
              <w:t>Assemble and send the internal customer and revenue detail against our opening request</w:t>
            </w:r>
          </w:p>
        </w:tc>
        <w:tc>
          <w:tcPr>
            <w:tcW w:type="dxa" w:w="2160"/>
          </w:tcPr>
          <w:p>
            <w:r>
              <w:t>Barbara Banks</w:t>
            </w:r>
          </w:p>
        </w:tc>
        <w:tc>
          <w:tcPr>
            <w:tcW w:type="dxa" w:w="2160"/>
          </w:tcPr>
          <w:p>
            <w:r>
              <w:t>Within the week</w:t>
            </w:r>
          </w:p>
        </w:tc>
      </w:tr>
      <w:tr>
        <w:tc>
          <w:tcPr>
            <w:tcW w:type="dxa" w:w="2160"/>
          </w:tcPr>
          <w:p>
            <w:r>
              <w:t>2</w:t>
            </w:r>
          </w:p>
        </w:tc>
        <w:tc>
          <w:tcPr>
            <w:tcW w:type="dxa" w:w="2160"/>
          </w:tcPr>
          <w:p>
            <w:r>
              <w:t>Close the competitive reading on the two remaining segments and record the sources</w:t>
            </w:r>
          </w:p>
        </w:tc>
        <w:tc>
          <w:tcPr>
            <w:tcW w:type="dxa" w:w="2160"/>
          </w:tcPr>
          <w:p>
            <w:r>
              <w:t>Cynthia Hart</w:t>
            </w:r>
          </w:p>
        </w:tc>
        <w:tc>
          <w:tcPr>
            <w:tcW w:type="dxa" w:w="2160"/>
          </w:tcPr>
          <w:p>
            <w:r>
              <w:t>Before next session</w:t>
            </w:r>
          </w:p>
        </w:tc>
      </w:tr>
      <w:tr>
        <w:tc>
          <w:tcPr>
            <w:tcW w:type="dxa" w:w="2160"/>
          </w:tcPr>
          <w:p>
            <w:r>
              <w:t>3</w:t>
            </w:r>
          </w:p>
        </w:tc>
        <w:tc>
          <w:tcPr>
            <w:tcW w:type="dxa" w:w="2160"/>
          </w:tcPr>
          <w:p>
            <w:r>
              <w:t>Reconcile the public revenue picture against the internal numbers once received, and flag any gap on the exhibits</w:t>
            </w:r>
          </w:p>
        </w:tc>
        <w:tc>
          <w:tcPr>
            <w:tcW w:type="dxa" w:w="2160"/>
          </w:tcPr>
          <w:p>
            <w:r>
              <w:t>Melissa Casey</w:t>
            </w:r>
          </w:p>
        </w:tc>
        <w:tc>
          <w:tcPr>
            <w:tcW w:type="dxa" w:w="2160"/>
          </w:tcPr>
          <w:p>
            <w:r>
              <w:t>Next session</w:t>
            </w:r>
          </w:p>
        </w:tc>
      </w:tr>
    </w:tbl>
    <w:p>
      <w:r>
        <w:t>The item that gates our next session is the first action, since until the internal customer detail is in hand we cannot reconcile the revenue picture or settle the open question above; once Barbara Banks's team has sent it, I will circulate the updated exhibits ahead of the meeting so that no one reads them cold.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Commercial Due Diligence for Johnson, Lopez and Brooks</dc:title>
  <dc:subject/>
  <dc:creator>Nicole Griffin</dc:creator>
  <cp:keywords/>
  <dc:description>generated by python-docx</dc:description>
  <cp:lastModifiedBy>Nicole Griffin</cp:lastModifiedBy>
  <cp:revision>1</cp:revision>
  <dcterms:created xsi:type="dcterms:W3CDTF">2015-09-14T09:00:00Z</dcterms:created>
  <dcterms:modified xsi:type="dcterms:W3CDTF">2015-09-14T09:00:00Z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