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a Working Session</w:t>
      </w:r>
    </w:p>
    <w:p>
      <w:r>
        <w:t>These minutes record the working session held on the commercial due diligence for Johnson, Lopez and Brooks, at which the engagement team and the client reviewed the near-final findings and agreed what remains before the work is drawn together for delivery. They set down who was in attendance, the matters discussed, and the actions each side agreed to carry into the closing weeks.</w:t>
      </w:r>
    </w:p>
    <w:p>
      <w:pPr>
        <w:pStyle w:val="Heading2"/>
      </w:pPr>
      <w:r>
        <w:t>In Attendance</w:t>
      </w:r>
    </w:p>
    <w:p>
      <w:pPr>
        <w:pStyle w:val="ListBullet"/>
      </w:pPr>
      <w:r>
        <w:t>Nicole Griffin, Research Associate, Calderwood Partners (minutes)</w:t>
      </w:r>
    </w:p>
    <w:p>
      <w:pPr>
        <w:pStyle w:val="ListBullet"/>
      </w:pPr>
      <w:r>
        <w:t>Melissa Casey, Research Associate, Calderwood Partners</w:t>
      </w:r>
    </w:p>
    <w:p>
      <w:pPr>
        <w:pStyle w:val="ListBullet"/>
      </w:pPr>
      <w:r>
        <w:t>Cynthia Hart, Research Associate, Calderwood Partners</w:t>
      </w:r>
    </w:p>
    <w:p>
      <w:pPr>
        <w:pStyle w:val="ListBullet"/>
      </w:pPr>
      <w:r>
        <w:t>Barbara Banks, Chief Operating Officer, Johnson, Lopez and Brooks</w:t>
      </w:r>
    </w:p>
    <w:p>
      <w:pPr>
        <w:pStyle w:val="Heading2"/>
      </w:pPr>
      <w:r>
        <w:t>Matters Discussed</w:t>
      </w:r>
    </w:p>
    <w:p>
      <w:r>
        <w:t>Melissa Casey walked the group through the integrated read, now that the internal customer and revenue detail has been reconciled against the external picture. The reconciliation held together more cleanly than we had feared: the internal numbers confirmed the durable position in the core segment and, on the concentration of revenue, softened the external read somewhat, since several of the largest accounts proved to sit under long-standing contracts rather than on year-to-year terms. Cynthia Hart added that the competitive reading on the two remaining segments is now closed, which completes the segment map that the earlier sessions had left partial.</w:t>
      </w:r>
    </w:p>
    <w:p>
      <w:r>
        <w:t>We spent most of the hour on how firmly the findings can be stated, which is the judgment the whole engagement has been building toward. Nicole Griffin confirmed that every figure in the draft exhibits now traces to a source in the shared file, so that the client's own people will be able to rerun the analysis after we have gone. Barbara Banks asked that the final report distinguish clearly between what the evidence establishes and what it merely suggests, and the team agreed, since a due diligence that dresses a suggestion as a finding is worth less than one that marks the line honestly.</w:t>
      </w:r>
    </w:p>
    <w:p>
      <w:r>
        <w:t>One matter we settled rather than left open. The team had earlier weighed pressing the competitive reading deeper against putting that time into the revenue-quality work; with the revenue question now largely answered by the internal detail, we agreed to hold the segment map where it stands and to spend the closing weeks on the write-up and on stress-testing the two or three judgments the commercial case turns on, rather than on further gathering.</w:t>
      </w:r>
    </w:p>
    <w:p>
      <w:pPr>
        <w:pStyle w:val="Heading2"/>
      </w:pPr>
      <w:r>
        <w:t>Actions Agreed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Action</w:t>
            </w:r>
          </w:p>
        </w:tc>
        <w:tc>
          <w:tcPr>
            <w:tcW w:type="dxa" w:w="2160"/>
          </w:tcPr>
          <w:p>
            <w:r>
              <w:rPr>
                <w:b/>
              </w:rPr>
              <w:t>Owner</w:t>
            </w:r>
          </w:p>
        </w:tc>
        <w:tc>
          <w:tcPr>
            <w:tcW w:type="dxa" w:w="2160"/>
          </w:tcPr>
          <w:p>
            <w:r>
              <w:rPr>
                <w:b/>
              </w:rPr>
              <w:t>Due</w:t>
            </w:r>
          </w:p>
        </w:tc>
      </w:tr>
      <w:tr>
        <w:tc>
          <w:tcPr>
            <w:tcW w:type="dxa" w:w="2160"/>
          </w:tcPr>
          <w:p>
            <w:r>
              <w:t>1</w:t>
            </w:r>
          </w:p>
        </w:tc>
        <w:tc>
          <w:tcPr>
            <w:tcW w:type="dxa" w:w="2160"/>
          </w:tcPr>
          <w:p>
            <w:r>
              <w:t>Draft the integrated findings and circulate the exhibits for team review</w:t>
            </w:r>
          </w:p>
        </w:tc>
        <w:tc>
          <w:tcPr>
            <w:tcW w:type="dxa" w:w="2160"/>
          </w:tcPr>
          <w:p>
            <w:r>
              <w:t>Melissa Casey</w:t>
            </w:r>
          </w:p>
        </w:tc>
        <w:tc>
          <w:tcPr>
            <w:tcW w:type="dxa" w:w="2160"/>
          </w:tcPr>
          <w:p>
            <w:r>
              <w:t>Within the week</w:t>
            </w:r>
          </w:p>
        </w:tc>
      </w:tr>
      <w:tr>
        <w:tc>
          <w:tcPr>
            <w:tcW w:type="dxa" w:w="2160"/>
          </w:tcPr>
          <w:p>
            <w:r>
              <w:t>2</w:t>
            </w:r>
          </w:p>
        </w:tc>
        <w:tc>
          <w:tcPr>
            <w:tcW w:type="dxa" w:w="2160"/>
          </w:tcPr>
          <w:p>
            <w:r>
              <w:t>Stress-test the core-segment and revenue-concentration judgments against the reconciled numbers</w:t>
            </w:r>
          </w:p>
        </w:tc>
        <w:tc>
          <w:tcPr>
            <w:tcW w:type="dxa" w:w="2160"/>
          </w:tcPr>
          <w:p>
            <w:r>
              <w:t>Cynthia Hart</w:t>
            </w:r>
          </w:p>
        </w:tc>
        <w:tc>
          <w:tcPr>
            <w:tcW w:type="dxa" w:w="2160"/>
          </w:tcPr>
          <w:p>
            <w:r>
              <w:t>Before delivery</w:t>
            </w:r>
          </w:p>
        </w:tc>
      </w:tr>
      <w:tr>
        <w:tc>
          <w:tcPr>
            <w:tcW w:type="dxa" w:w="2160"/>
          </w:tcPr>
          <w:p>
            <w:r>
              <w:t>3</w:t>
            </w:r>
          </w:p>
        </w:tc>
        <w:tc>
          <w:tcPr>
            <w:tcW w:type="dxa" w:w="2160"/>
          </w:tcPr>
          <w:p>
            <w:r>
              <w:t>Confirm the contract terms behind the largest accounts and note any exceptions for the record</w:t>
            </w:r>
          </w:p>
        </w:tc>
        <w:tc>
          <w:tcPr>
            <w:tcW w:type="dxa" w:w="2160"/>
          </w:tcPr>
          <w:p>
            <w:r>
              <w:t>Barbara Banks</w:t>
            </w:r>
          </w:p>
        </w:tc>
        <w:tc>
          <w:tcPr>
            <w:tcW w:type="dxa" w:w="2160"/>
          </w:tcPr>
          <w:p>
            <w:r>
              <w:t>Next session</w:t>
            </w:r>
          </w:p>
        </w:tc>
      </w:tr>
    </w:tbl>
    <w:p>
      <w:r>
        <w:t>The item that gates delivery is the first action, since the draft findings are what the closing review and the final report are both built on; once Melissa Casey has circulated them, Nicole Griffin will check every exhibit back to its source one last time before anything goes to the client under the firm's name.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Commercial Due Diligence for Johnson, Lopez and Brooks</dc:title>
  <dc:subject/>
  <dc:creator>Nicole Griffin</dc:creator>
  <cp:keywords/>
  <dc:description>generated by python-docx</dc:description>
  <cp:lastModifiedBy>Nicole Griffin</cp:lastModifiedBy>
  <cp:revision>1</cp:revision>
  <dcterms:created xsi:type="dcterms:W3CDTF">2015-12-11T09:00:00Z</dcterms:created>
  <dcterms:modified xsi:type="dcterms:W3CDTF">2015-12-11T09:00:00Z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