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Shared Services Design for Key Group</w:t>
      </w:r>
    </w:p>
    <w:p>
      <w:r>
        <w:t>This is the engagement team's periodic report to the finance leadership on the shared services design, written at roughly the midpoint of the work. My aim in it is less to catalogue activity than to tell you plainly where things stand, what has moved since we last wrote, what we will be doing over the coming weeks, and the few risks I think worth watching, so that nothing about the engagement's health has to be read out of silence.</w:t>
      </w:r>
    </w:p>
    <w:p>
      <w:pPr>
        <w:pStyle w:val="Heading2"/>
      </w:pPr>
      <w:r>
        <w:t>Where things stand</w:t>
      </w:r>
    </w:p>
    <w:p>
      <w:r>
        <w:t>At the midpoint the engagement is broadly where we planned for it to be, with the baseline of the in-scope support functions essentially built and the design work now beginning to take its shape on top of it. Set against the fixed fee of $105,500 for the whole of the engagement, we have consumed a little under half, which tracks the work completed and leaves us the room the design and transition phases will ask for. There is one open item on the cost side that I describe below, and it is the only thing at present that could move the timeline; everything else is proceeding at the pace we set at kickoff.</w:t>
      </w:r>
    </w:p>
    <w:p>
      <w:pPr>
        <w:pStyle w:val="Heading2"/>
      </w:pPr>
      <w:r>
        <w:t>What we have done since the last report</w:t>
      </w:r>
    </w:p>
    <w:p>
      <w:r>
        <w:t>Jason Torres and I have completed the process baseline for the finance and procurement activities, walking each one unit by unit with the people who actually perform it, and we have reconciled that picture against the operators' own account closely enough that neither side now argues about how the work is done today. We have also held the first working session with your team, at which we tested an early view of which activities genuinely belong in a shared organization and which are grouped together only by the history of how the units grew.</w:t>
      </w:r>
    </w:p>
    <w:p>
      <w:r>
        <w:t>Out of that session we have begun to separate the functions where consolidation clearly reduces duplicated effort from the smaller number where the case is weaker, and we are carrying the latter forward as open questions instead of settling them early for the sake of a tidier design. That distinction matters more than it might seem, because a design that consolidates everything for the appearance of order tends to hand your managers a structure they cannot comfortably run.</w:t>
      </w:r>
    </w:p>
    <w:p>
      <w:r>
        <w:t>The interviews that underpin all of this have gone smoothly, and I want to record our thanks to your unit finance leads, who gave us their time generously and were candid about where the current arrangement frustrates them; that candor is worth a great deal, because a baseline built only on what people are willing to say in the abstract is of little use once the design has to survive contact with how the work is really done.</w:t>
      </w:r>
    </w:p>
    <w:p>
      <w:pPr>
        <w:pStyle w:val="Heading2"/>
      </w:pPr>
      <w:r>
        <w:t>What the coming weeks hold</w:t>
      </w:r>
    </w:p>
    <w:p>
      <w:r>
        <w:t>Our attention over the next several weeks turns to the target design itself, which means describing the services the shared organization would provide, the levels at which it would hold itself to provide them, and the way its cost would be recovered from the units it serves. Alongside that, Jason Torres and I will be shaping two or three candidate designs so that you are able to weigh real options against one another, each tested against both what it costs and what it asks the organization to do differently, and we expect to bring those to you for a proper working discussion before any direction is fixed.</w:t>
      </w:r>
    </w:p>
    <w:p>
      <w:r>
        <w:t>We are also giving early thought to the governance the shared organization would need, since a service organization without a clear way of agreeing service levels and settling disputes between it and the units it serves tends to recreate, inside a single function, exactly the divided accountability we were asked to remove. I raise it now only because governance is easiest to settle while the shape of the organization is still open, and we would value your early view on it.</w:t>
      </w:r>
    </w:p>
    <w:p>
      <w:pPr>
        <w:pStyle w:val="Heading2"/>
      </w:pPr>
      <w:r>
        <w:t>Risks worth watching</w:t>
      </w:r>
    </w:p>
    <w:p>
      <w:r>
        <w:t>The one risk I would flag plainly is on the cost side, where two of the support functions still report through a single cost center, so that we cannot yet state what each of them consumes on its own. Until your finance team separates that detail, any figure we attach to a consolidation option rests on an apportionment rather than a measured number, and I want to be clear that our option pricing stays provisional until the separation is done. We do not think this puts the eight-month timeline at risk provided the split is completed in the coming fortnight, and closing it out is the single thing I would ask your team to treat as a priority.</w:t>
      </w:r>
    </w:p>
    <w:p>
      <w:r>
        <w:t>On the whole this is an engagement running to plan, with a solid baseline behind us, the design work opening in front of us, and one well-understood item to close on the cost side. This report was prepared by Daniel Cisneros for the engagement team, and if any part of it would be more useful discussed than read, Jason Torres and I are glad to make the time before the next working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Shared Services Design for Key Group</dc:title>
  <dc:subject/>
  <dc:creator>Daniel Cisneros</dc:creator>
  <cp:keywords/>
  <dc:description>generated by python-docx</dc:description>
  <cp:lastModifiedBy>Daniel Cisneros</cp:lastModifiedBy>
  <cp:revision>1</cp:revision>
  <dcterms:created xsi:type="dcterms:W3CDTF">2018-06-06T09:00:00Z</dcterms:created>
  <dcterms:modified xsi:type="dcterms:W3CDTF">2018-06-06T09:00:00Z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