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Current Position and Growth Options</w:t>
      </w:r>
    </w:p>
    <w:p>
      <w:r>
        <w:t>These minutes are recorded by Daniel Leach and cover the working session held with the client on the Key Group growth strategy. They follow the order of the discussion, and where a figure was called provisional in the room I have marked it so here.</w:t>
      </w:r>
    </w:p>
    <w:p>
      <w:pPr>
        <w:pStyle w:val="Heading2"/>
      </w:pPr>
      <w:r>
        <w:t>Attendees</w:t>
      </w:r>
    </w:p>
    <w:p>
      <w:pPr>
        <w:pStyle w:val="ListBullet"/>
      </w:pPr>
      <w:r>
        <w:t>Brenda Rodriguez, Senior Consultant</w:t>
      </w:r>
    </w:p>
    <w:p>
      <w:pPr>
        <w:pStyle w:val="ListBullet"/>
      </w:pPr>
      <w:r>
        <w:t>Daniel Leach, Research Associate</w:t>
      </w:r>
    </w:p>
    <w:p>
      <w:pPr>
        <w:pStyle w:val="ListBullet"/>
      </w:pPr>
      <w:r>
        <w:t>Steven Lowe, Vice President, Finance, Key Group</w:t>
      </w:r>
    </w:p>
    <w:p>
      <w:pPr>
        <w:pStyle w:val="Heading2"/>
      </w:pPr>
      <w:r>
        <w:t>Current Position</w:t>
      </w:r>
    </w:p>
    <w:p>
      <w:r>
        <w:t>Brenda Rodriguez presented the current-position analysis as it now stands. Her finding is that growth in the two largest segments is concentrated: in each, a small number of accounts account for the majority of the increase over the period, while the wider base is close to flat. She was careful to mark this as a measurement taken from the segment and customer files rather than a conclusion about its cause, and she noted that the second-largest segment still comes through at the segment total for two months of the period, which she is reconciling before she will call the number firm. Steven Lowe said the concentration matched his own sense of the largest segment, and he named two accounts we had not yet tied to the pattern, both of which I recorded for follow-up.</w:t>
      </w:r>
    </w:p>
    <w:p>
      <w:pPr>
        <w:pStyle w:val="Heading2"/>
      </w:pPr>
      <w:r>
        <w:t>Market Sizing</w:t>
      </w:r>
    </w:p>
    <w:p>
      <w:r>
        <w:t>I took the table through the market sizing as far as it has reached. The segments the company serves are, in total, smaller than the adjacent segments it does not serve today, and demand in those adjacent segments is growing faster than in the core. I noted two limits on the figures. First, the published sources disagree on the size of one adjacent segment by a wide margin, and I have used the lower of the two pending a third source. Second, the sizing is roughly half complete, and the numbers should be read as provisional. Brenda Rodriguez asked that a range, not a single point, carry into the option work until the third source is in, and that was agreed.</w:t>
      </w:r>
    </w:p>
    <w:p>
      <w:pPr>
        <w:pStyle w:val="Heading2"/>
      </w:pPr>
      <w:r>
        <w:t>Growth Options in Outline</w:t>
      </w:r>
    </w:p>
    <w:p>
      <w:r>
        <w:t>We reviewed the growth options in outline, without ranking them. Three are on the working list: deeper penetration of the concentrated accounts in the core, extension into the nearest adjacent segment, and geographic extension of the existing lines. Steven Lowe asked which of the three the analysis currently favors. Brenda Rodriguez declined to rank them yet, on the ground that the market sizing is not closed and a ranking made now would harden into a recommendation before the evidence supports one. It was agreed that the options would be framed with their requirements and returns at the next session and ranked only afterward.</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Owner</w:t>
            </w:r>
          </w:p>
        </w:tc>
        <w:tc>
          <w:tcPr>
            <w:tcW w:type="dxa" w:w="2880"/>
          </w:tcPr>
          <w:p>
            <w:r>
              <w:rPr>
                <w:b/>
              </w:rPr>
              <w:t>Due</w:t>
            </w:r>
          </w:p>
        </w:tc>
      </w:tr>
      <w:tr>
        <w:tc>
          <w:tcPr>
            <w:tcW w:type="dxa" w:w="2880"/>
          </w:tcPr>
          <w:p>
            <w:r>
              <w:t>Reconcile the two open months in the second-largest segment and confirm the concentration finding</w:t>
            </w:r>
          </w:p>
        </w:tc>
        <w:tc>
          <w:tcPr>
            <w:tcW w:type="dxa" w:w="2880"/>
          </w:tcPr>
          <w:p>
            <w:r>
              <w:t>Brenda Rodriguez</w:t>
            </w:r>
          </w:p>
        </w:tc>
        <w:tc>
          <w:tcPr>
            <w:tcW w:type="dxa" w:w="2880"/>
          </w:tcPr>
          <w:p>
            <w:r>
              <w:t>Before the next working session</w:t>
            </w:r>
          </w:p>
        </w:tc>
      </w:tr>
      <w:tr>
        <w:tc>
          <w:tcPr>
            <w:tcW w:type="dxa" w:w="2880"/>
          </w:tcPr>
          <w:p>
            <w:r>
              <w:t>Obtain a third source for the disputed adjacent segment and carry the range into the sizing</w:t>
            </w:r>
          </w:p>
        </w:tc>
        <w:tc>
          <w:tcPr>
            <w:tcW w:type="dxa" w:w="2880"/>
          </w:tcPr>
          <w:p>
            <w:r>
              <w:t>Daniel Leach</w:t>
            </w:r>
          </w:p>
        </w:tc>
        <w:tc>
          <w:tcPr>
            <w:tcW w:type="dxa" w:w="2880"/>
          </w:tcPr>
          <w:p>
            <w:r>
              <w:t>Before the option framing</w:t>
            </w:r>
          </w:p>
        </w:tc>
      </w:tr>
      <w:tr>
        <w:tc>
          <w:tcPr>
            <w:tcW w:type="dxa" w:w="2880"/>
          </w:tcPr>
          <w:p>
            <w:r>
              <w:t>Provide the two additional account names tied to the concentration pattern</w:t>
            </w:r>
          </w:p>
        </w:tc>
        <w:tc>
          <w:tcPr>
            <w:tcW w:type="dxa" w:w="2880"/>
          </w:tcPr>
          <w:p>
            <w:r>
              <w:t>Steven Lowe</w:t>
            </w:r>
          </w:p>
        </w:tc>
        <w:tc>
          <w:tcPr>
            <w:tcW w:type="dxa" w:w="2880"/>
          </w:tcPr>
          <w:p>
            <w:r>
              <w:t>Within the week</w:t>
            </w:r>
          </w:p>
        </w:tc>
      </w:tr>
      <w:tr>
        <w:tc>
          <w:tcPr>
            <w:tcW w:type="dxa" w:w="2880"/>
          </w:tcPr>
          <w:p>
            <w:r>
              <w:t>Frame the three growth options with their requirements and returns, unranked</w:t>
            </w:r>
          </w:p>
        </w:tc>
        <w:tc>
          <w:tcPr>
            <w:tcW w:type="dxa" w:w="2880"/>
          </w:tcPr>
          <w:p>
            <w:r>
              <w:t>Brenda Rodriguez</w:t>
            </w:r>
          </w:p>
        </w:tc>
        <w:tc>
          <w:tcPr>
            <w:tcW w:type="dxa" w:w="2880"/>
          </w:tcPr>
          <w:p>
            <w:r>
              <w:t>For the next working session</w:t>
            </w:r>
          </w:p>
        </w:tc>
      </w:tr>
    </w:tbl>
    <w:p>
      <w:r>
        <w:t>The next step is the reconciliation of the two open months; until Brenda Rodriguez has closed it, the concentration finding stays provisional and the option framing waits on it.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Growth Strategy for Key Group</dc:title>
  <dc:subject/>
  <dc:creator>Daniel Leach</dc:creator>
  <cp:keywords/>
  <dc:description>generated by python-docx</dc:description>
  <cp:lastModifiedBy>Daniel Leach</cp:lastModifiedBy>
  <cp:revision>1</cp:revision>
  <dcterms:created xsi:type="dcterms:W3CDTF">2009-09-24T09:00:00Z</dcterms:created>
  <dcterms:modified xsi:type="dcterms:W3CDTF">2009-09-24T09:00:00Z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