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 Shared Services Design for Key Group</w:t>
      </w:r>
    </w:p>
    <w:p>
      <w:r>
        <w:t>These minutes record a working session held at the midpoint of the engagement, at which we reviewed the baseline of the in-scope support functions, tested an early view of what the shared services organization should and should not absorb, and agreed how we would carry the cost picture forward; they set down who attended, what was discussed, and who now owns each next step, so that we agree afterward on what was in fact decided rather than on what each of us recalls having wanted.</w:t>
      </w:r>
    </w:p>
    <w:p>
      <w:pPr>
        <w:pStyle w:val="Heading2"/>
      </w:pPr>
      <w:r>
        <w:t>Present</w:t>
      </w:r>
    </w:p>
    <w:p>
      <w:pPr>
        <w:pStyle w:val="ListBullet"/>
      </w:pPr>
      <w:r>
        <w:t>Jason Torres, Principal, Calderwood Partners</w:t>
      </w:r>
    </w:p>
    <w:p>
      <w:pPr>
        <w:pStyle w:val="ListBullet"/>
      </w:pPr>
      <w:r>
        <w:t>Daniel Cisneros, Research Associate, Calderwood Partners</w:t>
      </w:r>
    </w:p>
    <w:p>
      <w:pPr>
        <w:pStyle w:val="ListBullet"/>
      </w:pPr>
      <w:r>
        <w:t>Steven Lowe, Vice President, Finance, Key Group</w:t>
      </w:r>
    </w:p>
    <w:p>
      <w:pPr>
        <w:pStyle w:val="Heading2"/>
      </w:pPr>
      <w:r>
        <w:t>The baseline as it now stands</w:t>
      </w:r>
    </w:p>
    <w:p>
      <w:r>
        <w:t>Daniel Cisneros presented the baseline of the functions under consideration, which is substantially complete for finance and procurement and largely reconciles to what the unit operators describe, allowing for the familiar small distances between the documented process and the one actually run. The one material gap remains on the cost side, where two of the support functions at Key Group continue to report through a single cost center, so that we cannot yet state what each of them consumes on its own; until that detail is separated, any figure we later attach to a consolidation option would rest on an apportionment rather than a measured number, and we were careful not to let the group treat a provisional split as though it were already settled.</w:t>
      </w:r>
    </w:p>
    <w:p>
      <w:pPr>
        <w:pStyle w:val="Heading2"/>
      </w:pPr>
      <w:r>
        <w:t>What the shared organization should absorb</w:t>
      </w:r>
    </w:p>
    <w:p>
      <w:r>
        <w:t>The discussion then turned to which activities genuinely belong in a shared organization and which are grouped together only by the history of how the units grew, and we tested each candidate function against whether consolidation would actually reduce duplicated effort or merely relocate it. Steven Lowe was clear that he did not want a design that swept every transactional task into one place for the appearance of tidiness, and asked us to be explicit about the functions where the case for consolidation is weak; we agreed to carry two or three of those forward as deliberately open questions instead of resolving them prematurely in favor of a cleaner chart.</w:t>
      </w:r>
    </w:p>
    <w:p>
      <w:pPr>
        <w:pStyle w:val="Heading2"/>
      </w:pPr>
      <w:r>
        <w:t>Pace and the standard the client set</w:t>
      </w:r>
    </w:p>
    <w:p>
      <w:r>
        <w:t>Steven Lowe restated the test the design has to meet, which is that his own managers must be able to operate the shared organization once we have withdrawn, and pressed on whether the open cost question puts the eight-month timeline at risk. The considered view we gave him is that it does not, provided the cost separation is completed within the coming fortnight, and we agreed to fold his operability test directly into how the options are weighed, so that a design his team could not run would not count as a candidate however well it reduced cost on paper.</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Target</w:t>
            </w:r>
          </w:p>
        </w:tc>
      </w:tr>
      <w:tr>
        <w:tc>
          <w:tcPr>
            <w:tcW w:type="dxa" w:w="2880"/>
          </w:tcPr>
          <w:p>
            <w:r>
              <w:t>Steven Lowe</w:t>
            </w:r>
          </w:p>
        </w:tc>
        <w:tc>
          <w:tcPr>
            <w:tcW w:type="dxa" w:w="2880"/>
          </w:tcPr>
          <w:p>
            <w:r>
              <w:t>Have the finance team separate the shared cost center into its two support functions, or point Daniel Cisneros to the underlying detail</w:t>
            </w:r>
          </w:p>
        </w:tc>
        <w:tc>
          <w:tcPr>
            <w:tcW w:type="dxa" w:w="2880"/>
          </w:tcPr>
          <w:p>
            <w:r>
              <w:t>Within two weeks</w:t>
            </w:r>
          </w:p>
        </w:tc>
      </w:tr>
      <w:tr>
        <w:tc>
          <w:tcPr>
            <w:tcW w:type="dxa" w:w="2880"/>
          </w:tcPr>
          <w:p>
            <w:r>
              <w:t>Daniel Cisneros</w:t>
            </w:r>
          </w:p>
        </w:tc>
        <w:tc>
          <w:tcPr>
            <w:tcW w:type="dxa" w:w="2880"/>
          </w:tcPr>
          <w:p>
            <w:r>
              <w:t>Rebuild the cost picture once the split is available and reconcile it to the process baseline</w:t>
            </w:r>
          </w:p>
        </w:tc>
        <w:tc>
          <w:tcPr>
            <w:tcW w:type="dxa" w:w="2880"/>
          </w:tcPr>
          <w:p>
            <w:r>
              <w:t>Two weeks from receipt</w:t>
            </w:r>
          </w:p>
        </w:tc>
      </w:tr>
      <w:tr>
        <w:tc>
          <w:tcPr>
            <w:tcW w:type="dxa" w:w="2880"/>
          </w:tcPr>
          <w:p>
            <w:r>
              <w:t>Jason Torres</w:t>
            </w:r>
          </w:p>
        </w:tc>
        <w:tc>
          <w:tcPr>
            <w:tcW w:type="dxa" w:w="2880"/>
          </w:tcPr>
          <w:p>
            <w:r>
              <w:t>Confirm the revised baseline date with the client and set the first option review for the following week</w:t>
            </w:r>
          </w:p>
        </w:tc>
        <w:tc>
          <w:tcPr>
            <w:tcW w:type="dxa" w:w="2880"/>
          </w:tcPr>
          <w:p>
            <w:r>
              <w:t>On close of baseline</w:t>
            </w:r>
          </w:p>
        </w:tc>
      </w:tr>
    </w:tbl>
    <w:p>
      <w:r>
        <w:t>The engagement's forward motion now turns on the single cost separation described above; once the finance team returns it, Daniel Cisneros will close the baseline and I will fix the date for the first review of options, and I would ask that we treat that one item as the priority of the coming fortnight.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Shared Services Design for Key Group</dc:title>
  <dc:subject/>
  <dc:creator>Jason Torres</dc:creator>
  <cp:keywords/>
  <dc:description>generated by python-docx</dc:description>
  <cp:lastModifiedBy>Jason Torres</cp:lastModifiedBy>
  <cp:revision>1</cp:revision>
  <dcterms:created xsi:type="dcterms:W3CDTF">2018-05-14T09:00:00Z</dcterms:created>
  <dcterms:modified xsi:type="dcterms:W3CDTF">2018-05-14T09:00:00Z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