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Shared Services Design for Key Group</w:t>
      </w:r>
    </w:p>
    <w:p>
      <w:r>
        <w:t>These minutes record a working session held in the later part of the engagement, at which we reviewed the target design now that it is substantially settled, walked through the transition plan that would let the client stand the shared organization up, and identified the few decisions that still have to be made before the design can be handed over; as with our earlier sessions they set down who attended, what was covered, and who owns each remaining step.</w:t>
      </w:r>
    </w:p>
    <w:p>
      <w:pPr>
        <w:pStyle w:val="Heading2"/>
      </w:pPr>
      <w:r>
        <w:t>Present</w:t>
      </w:r>
    </w:p>
    <w:p>
      <w:pPr>
        <w:pStyle w:val="ListBullet"/>
      </w:pPr>
      <w:r>
        <w:t>Jason Torres, Principal, Calderwood Partners</w:t>
      </w:r>
    </w:p>
    <w:p>
      <w:pPr>
        <w:pStyle w:val="ListBullet"/>
      </w:pPr>
      <w:r>
        <w:t>Daniel Cisneros, Research Associate, Calderwood Partners</w:t>
      </w:r>
    </w:p>
    <w:p>
      <w:pPr>
        <w:pStyle w:val="ListBullet"/>
      </w:pPr>
      <w:r>
        <w:t>Steven Lowe, Vice President, Finance, Key Group</w:t>
      </w:r>
    </w:p>
    <w:p>
      <w:pPr>
        <w:pStyle w:val="Heading2"/>
      </w:pPr>
      <w:r>
        <w:t>The design as it now reads</w:t>
      </w:r>
    </w:p>
    <w:p>
      <w:r>
        <w:t>Daniel Cisneros took the group through the target design in close to its final form, covering the services the shared organization would provide, the levels it would commit to, and the mechanism by which its cost would be recovered from the units it serves. The design consolidates the finance and procurement transactional activities that the baseline showed to be genuinely duplicated, and it deliberately leaves in the units the two functions we had carried forward as open questions, on the finding that bringing them in would have relocated effort rather than reduced it; Steven Lowe accepted that reasoning and asked only that the rationale be recorded plainly in the final design, so that the decision is not reopened later by someone who was not in the room for it.</w:t>
      </w:r>
    </w:p>
    <w:p>
      <w:pPr>
        <w:pStyle w:val="Heading2"/>
      </w:pPr>
      <w:r>
        <w:t>Transition and the readiness of the client team</w:t>
      </w:r>
    </w:p>
    <w:p>
      <w:r>
        <w:t>The larger part of the session concerned the transition, and in particular whether Key Group has the people and the governance in place to operate the shared organization once we withdraw. Steven Lowe was candid that a service organization stands or falls on whether the units accept its authority, and we agreed that the transition plan has to name, for each consolidated activity, the point at which responsibility passes from the units to the shared organization and the person on the client side who owns it thereafter; we also agreed that a service-level agreement drafted but never enforced is worse than none at all, and that the governance forum must have real standing from its first day.</w:t>
      </w:r>
    </w:p>
    <w:p>
      <w:pPr>
        <w:pStyle w:val="Heading2"/>
      </w:pPr>
      <w:r>
        <w:t>What remains open</w:t>
      </w:r>
    </w:p>
    <w:p>
      <w:r>
        <w:t>Two matters remain genuinely open and were left so deliberately. The first is the treatment of the shared organization's own cost in its first year, where Steven Lowe wants to test one further recovery method against the one we have recommended before he settles it with his unit heads. The second is the sequence of the transition itself, which we will finalize only once the client has confirmed which unit is willing to move first, since a well-chosen first mover makes the rest of the sequence appreciably easier to carry.</w:t>
      </w:r>
    </w:p>
    <w:p>
      <w:pPr>
        <w:pStyle w:val="Heading2"/>
      </w:pPr>
      <w:r>
        <w:t>Action items</w:t>
      </w:r>
    </w:p>
    <w:p>
      <w:pPr>
        <w:pStyle w:val="ListBullet"/>
      </w:pPr>
      <w:r>
        <w:t>1. Daniel Cisneros will record in the final design the rationale for leaving the two contested functions in the units, so that the decision stands on its stated reasons. Target: within one week.</w:t>
      </w:r>
    </w:p>
    <w:p>
      <w:pPr>
        <w:pStyle w:val="ListBullet"/>
      </w:pPr>
      <w:r>
        <w:t>2. Steven Lowe will test the alternative first-year cost-recovery method against the recommended one with his unit heads and return a decision. Target: two weeks.</w:t>
      </w:r>
    </w:p>
    <w:p>
      <w:pPr>
        <w:pStyle w:val="ListBullet"/>
      </w:pPr>
      <w:r>
        <w:t>3. Jason Torres will fold the confirmed first mover into the transition sequence once the client names the unit, and circulate the revised sequence. Target: on confirmation.</w:t>
      </w:r>
    </w:p>
    <w:p>
      <w:pPr>
        <w:pStyle w:val="ListBullet"/>
      </w:pPr>
      <w:r>
        <w:t>4. The engagement team will bring the completed design and transition plan to the next session for review ahead of handover. Target: next scheduled session.</w:t>
      </w:r>
    </w:p>
    <w:p>
      <w:r>
        <w:t>With the design now settled in all but the two matters noted, the engagement's remaining work is chiefly the transition and the orderly handover of both, and I would ask that the open cost-recovery question and the choice of first mover be closed before our next session, so that the final materials do not have to wait on them.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Shared Services Design for Key Group</dc:title>
  <dc:subject/>
  <dc:creator>Jason Torres</dc:creator>
  <cp:keywords/>
  <dc:description>generated by python-docx</dc:description>
  <cp:lastModifiedBy>Jason Torres</cp:lastModifiedBy>
  <cp:revision>1</cp:revision>
  <dcterms:created xsi:type="dcterms:W3CDTF">2018-08-10T09:00:00Z</dcterms:created>
  <dcterms:modified xsi:type="dcterms:W3CDTF">2018-08-10T09:00:00Z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