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Procurement Transformation for Pacheco-Casey</w:t>
      </w:r>
    </w:p>
    <w:p>
      <w:r>
        <w:t>The engagement is roughly at its midpoint and on plan: the spend baseline is closed, the analysis has told us where the value sits, and the work is turning from diagnosis toward the sourcing decisions that will carry the savings. This report covers the period since the last one, sets out what has been finished and what comes next, and names the risks I am watching. It is prepared by Matthew Parrish, with the analysis led by Brenda Rodriguez and the underlying data work carried by Daniel Leach.</w:t>
      </w:r>
    </w:p>
    <w:p>
      <w:pPr>
        <w:pStyle w:val="Heading2"/>
      </w:pPr>
      <w:r>
        <w:t>Where things stand</w:t>
      </w:r>
    </w:p>
    <w:p>
      <w:r>
        <w:t>The diagnostic phase is complete. We now have a spend picture for Pacheco-Casey that reconciles to the ledger, broken out by category and supplier across the last two years, and a benchmarked view of how the leading categories are bought relative to comparable buyers. On that basis we have identified the categories where the return on a change is largest and are shaping the sourcing strategies that would realize it. The engagement remains within the fixed fee of $110,500 agreed at the outset, and nothing in the current plan calls for a change to it.</w:t>
      </w:r>
    </w:p>
    <w:p>
      <w:pPr>
        <w:pStyle w:val="Heading2"/>
      </w:pPr>
      <w:r>
        <w:t>Completed this period</w:t>
      </w:r>
    </w:p>
    <w:p>
      <w:pPr>
        <w:pStyle w:val="ListBullet"/>
      </w:pPr>
      <w:r>
        <w:t>1. Closed the spend baseline and reconciled it to the general ledger, resolving the two categories that had shared a supplier code and been counted as one.</w:t>
      </w:r>
    </w:p>
    <w:p>
      <w:pPr>
        <w:pStyle w:val="ListBullet"/>
      </w:pPr>
      <w:r>
        <w:t>2. Benchmarked terms and supplier structure for the three leading categories, which between them account for the larger share of addressable spend.</w:t>
      </w:r>
    </w:p>
    <w:p>
      <w:pPr>
        <w:pStyle w:val="ListBullet"/>
      </w:pPr>
      <w:r>
        <w:t>3. Sized the consolidation opportunity on those categories, giving a defensible range for what a tested set of terms and a shorter supplier list could return.</w:t>
      </w:r>
    </w:p>
    <w:p>
      <w:pPr>
        <w:pStyle w:val="ListBullet"/>
      </w:pPr>
      <w:r>
        <w:t>4. Mapped how purchasing decisions are made today, category by category, so that any change we propose fits how the buyers actually work rather than how the policy says they should.</w:t>
      </w:r>
    </w:p>
    <w:p>
      <w:r>
        <w:t>Taken together, this closes the diagnosis. We now know where the company spends, with whom, and on what terms, and we can say with reasonable confidence which categories will repay a change and which will not. Brenda Rodriguez has led that read, and Daniel Leach has kept the underlying data clean enough that one of your own analysts could pick it up and follow it without a guide.</w:t>
      </w:r>
    </w:p>
    <w:p>
      <w:pPr>
        <w:pStyle w:val="Heading2"/>
      </w:pPr>
      <w:r>
        <w:t>Planned for the coming weeks</w:t>
      </w:r>
    </w:p>
    <w:p>
      <w:pPr>
        <w:pStyle w:val="ListBullet"/>
      </w:pPr>
      <w:r>
        <w:t>1. Develop the sourcing strategy for each lead category, setting out the target supplier structure and the terms worth pursuing.</w:t>
      </w:r>
    </w:p>
    <w:p>
      <w:pPr>
        <w:pStyle w:val="ListBullet"/>
      </w:pPr>
      <w:r>
        <w:t>2. Prepare the negotiation approach, including the reference points a buyer would take into a supplier conversation.</w:t>
      </w:r>
    </w:p>
    <w:p>
      <w:pPr>
        <w:pStyle w:val="ListBullet"/>
      </w:pPr>
      <w:r>
        <w:t>3. Extend the analysis to the next tier of categories, so that the transformed model covers more than the three we led with.</w:t>
      </w:r>
    </w:p>
    <w:p>
      <w:pPr>
        <w:pStyle w:val="ListBullet"/>
      </w:pPr>
      <w:r>
        <w:t>4. Begin the transition plan, describing what your own buyers would own once we have gone.</w:t>
      </w:r>
    </w:p>
    <w:p>
      <w:r>
        <w:t>The center of the next period is the sourcing strategy. Everything before this has been about establishing what is true; the work now is about deciding what to do with it, which means choosing target supplier structures, setting the terms worth pursuing, and preparing your people to hold those terms after the engagement has closed.</w:t>
      </w:r>
    </w:p>
    <w:p>
      <w:pPr>
        <w:pStyle w:val="Heading2"/>
      </w:pPr>
      <w:r>
        <w:t>Risks I am watching</w:t>
      </w:r>
    </w:p>
    <w:p>
      <w:pPr>
        <w:pStyle w:val="ListBullet"/>
      </w:pPr>
      <w:r>
        <w:t>The tail of small, off-contract suppliers is larger than the company first expected, and cleaning it up will take effort from the buyers that competes with their day job.</w:t>
      </w:r>
    </w:p>
    <w:p>
      <w:pPr>
        <w:pStyle w:val="ListBullet"/>
      </w:pPr>
      <w:r>
        <w:t>A share of spend still sits outside any purchase order, so a portion of the picture rests on estimates that we are working to firm up from the invoice records.</w:t>
      </w:r>
    </w:p>
    <w:p>
      <w:pPr>
        <w:pStyle w:val="ListBullet"/>
      </w:pPr>
      <w:r>
        <w:t>The savings depend on the company holding to the tested terms after we leave, which is a matter of discipline more than of analysis, and the transition plan has to account for it.</w:t>
      </w:r>
    </w:p>
    <w:p>
      <w:r>
        <w:t>None of these is off track, and each has an owner and a plan behind it. Brenda Rodriguez and Daniel Leach will bring the sourcing strategies to the next working session, and I will keep this report current so that the picture you hold of the engagement matches the one we do.</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Procurement Transformation for Pacheco-Casey</dc:title>
  <dc:subject/>
  <dc:creator>Matthew Parrish</dc:creator>
  <cp:keywords/>
  <dc:description>generated by python-docx</dc:description>
  <cp:lastModifiedBy>Matthew Parrish</cp:lastModifiedBy>
  <cp:revision>1</cp:revision>
  <dcterms:created xsi:type="dcterms:W3CDTF">2014-07-03T09:00:00Z</dcterms:created>
  <dcterms:modified xsi:type="dcterms:W3CDTF">2014-07-03T09:00:00Z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